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2BE" w:rsidRPr="001C12BE" w:rsidRDefault="001C12BE" w:rsidP="001C12BE">
      <w:pPr>
        <w:tabs>
          <w:tab w:val="left" w:pos="284"/>
        </w:tabs>
        <w:adjustRightInd w:val="0"/>
        <w:jc w:val="center"/>
        <w:rPr>
          <w:b/>
          <w:color w:val="000000"/>
          <w:sz w:val="24"/>
          <w:szCs w:val="24"/>
          <w:lang w:val="en-US"/>
        </w:rPr>
      </w:pPr>
      <w:r w:rsidRPr="001C12BE">
        <w:rPr>
          <w:b/>
          <w:color w:val="000000"/>
          <w:sz w:val="24"/>
          <w:szCs w:val="24"/>
          <w:lang w:val="en-US"/>
        </w:rPr>
        <w:t xml:space="preserve">PROFIL KESEHATAN CALON PENGANTIN WANITA DI KANTOR URUSAN AGAMA KALIWATES JEMBER </w:t>
      </w:r>
    </w:p>
    <w:p w:rsidR="004424C7" w:rsidRPr="00F376E4" w:rsidRDefault="004424C7" w:rsidP="004424C7">
      <w:pPr>
        <w:tabs>
          <w:tab w:val="left" w:pos="284"/>
        </w:tabs>
        <w:adjustRightInd w:val="0"/>
        <w:jc w:val="center"/>
        <w:rPr>
          <w:b/>
          <w:color w:val="000000"/>
          <w:sz w:val="24"/>
          <w:szCs w:val="24"/>
        </w:rPr>
      </w:pPr>
    </w:p>
    <w:p w:rsidR="001C12BE" w:rsidRPr="001C12BE" w:rsidRDefault="001C12BE" w:rsidP="001C12BE">
      <w:pPr>
        <w:tabs>
          <w:tab w:val="left" w:pos="284"/>
        </w:tabs>
        <w:adjustRightInd w:val="0"/>
        <w:ind w:left="270" w:right="60"/>
        <w:jc w:val="center"/>
        <w:rPr>
          <w:b/>
          <w:i/>
          <w:color w:val="000000"/>
          <w:sz w:val="24"/>
          <w:szCs w:val="24"/>
          <w:lang w:val="en-US"/>
        </w:rPr>
      </w:pPr>
      <w:r w:rsidRPr="001C12BE">
        <w:rPr>
          <w:b/>
          <w:i/>
          <w:color w:val="000000"/>
          <w:sz w:val="24"/>
          <w:szCs w:val="24"/>
          <w:lang w:val="en-US"/>
        </w:rPr>
        <w:t>Health profile of  future bride in religious Affairs office</w:t>
      </w:r>
    </w:p>
    <w:p w:rsidR="004424C7" w:rsidRPr="001929EC" w:rsidRDefault="004424C7" w:rsidP="004424C7">
      <w:pPr>
        <w:tabs>
          <w:tab w:val="left" w:pos="284"/>
        </w:tabs>
        <w:adjustRightInd w:val="0"/>
        <w:ind w:left="270" w:right="60"/>
        <w:jc w:val="center"/>
        <w:rPr>
          <w:b/>
          <w:i/>
          <w:color w:val="000000"/>
          <w:sz w:val="24"/>
          <w:szCs w:val="24"/>
        </w:rPr>
      </w:pPr>
    </w:p>
    <w:p w:rsidR="00152DB9" w:rsidRDefault="00152DB9">
      <w:pPr>
        <w:pStyle w:val="Heading2"/>
        <w:ind w:left="4186" w:right="813"/>
      </w:pPr>
    </w:p>
    <w:p w:rsidR="001C12BE" w:rsidRDefault="001C12BE" w:rsidP="001C12BE">
      <w:pPr>
        <w:pStyle w:val="BodyText"/>
        <w:ind w:left="3949" w:right="1938" w:hanging="1697"/>
        <w:rPr>
          <w:color w:val="000000" w:themeColor="text1"/>
          <w:vertAlign w:val="superscript"/>
          <w:lang w:val="en-US"/>
        </w:rPr>
      </w:pPr>
      <w:r w:rsidRPr="001C12BE">
        <w:rPr>
          <w:color w:val="000000" w:themeColor="text1"/>
          <w:lang w:val="en-US"/>
        </w:rPr>
        <w:t>Ernawati Anggraeni</w:t>
      </w:r>
      <w:r w:rsidRPr="001C12BE">
        <w:rPr>
          <w:color w:val="000000" w:themeColor="text1"/>
          <w:vertAlign w:val="superscript"/>
          <w:lang w:val="en-US"/>
        </w:rPr>
        <w:t>1</w:t>
      </w:r>
      <w:r w:rsidRPr="001C12BE">
        <w:rPr>
          <w:color w:val="000000" w:themeColor="text1"/>
          <w:lang w:val="en-US"/>
        </w:rPr>
        <w:t>, Melati Puspita Sari</w:t>
      </w:r>
      <w:r w:rsidRPr="001C12BE">
        <w:rPr>
          <w:color w:val="000000" w:themeColor="text1"/>
          <w:vertAlign w:val="superscript"/>
          <w:lang w:val="en-US"/>
        </w:rPr>
        <w:t>2</w:t>
      </w:r>
      <w:r w:rsidRPr="001C12BE">
        <w:rPr>
          <w:color w:val="000000" w:themeColor="text1"/>
          <w:lang w:val="en-US"/>
        </w:rPr>
        <w:t>, Dewi Qomariah Nurul Ramadhani</w:t>
      </w:r>
      <w:r w:rsidRPr="001C12BE">
        <w:rPr>
          <w:color w:val="000000" w:themeColor="text1"/>
          <w:vertAlign w:val="superscript"/>
          <w:lang w:val="en-US"/>
        </w:rPr>
        <w:t>3</w:t>
      </w:r>
      <w:r w:rsidRPr="001C12BE">
        <w:rPr>
          <w:color w:val="000000" w:themeColor="text1"/>
          <w:lang w:val="en-US"/>
        </w:rPr>
        <w:t>, Meyla Eka Putri</w:t>
      </w:r>
      <w:r w:rsidRPr="001C12BE">
        <w:rPr>
          <w:color w:val="000000" w:themeColor="text1"/>
          <w:vertAlign w:val="superscript"/>
          <w:lang w:val="en-US"/>
        </w:rPr>
        <w:t>4</w:t>
      </w:r>
    </w:p>
    <w:p w:rsidR="001C12BE" w:rsidRPr="001C12BE" w:rsidRDefault="001C12BE" w:rsidP="001C12BE">
      <w:pPr>
        <w:pStyle w:val="BodyText"/>
        <w:ind w:left="3949" w:right="1938" w:hanging="1697"/>
        <w:rPr>
          <w:color w:val="000000" w:themeColor="text1"/>
          <w:lang w:val="en-US"/>
        </w:rPr>
      </w:pPr>
    </w:p>
    <w:p w:rsidR="001C12BE" w:rsidRPr="001C12BE" w:rsidRDefault="00BD3A56" w:rsidP="001C12BE">
      <w:pPr>
        <w:pStyle w:val="BodyText"/>
        <w:spacing w:line="480" w:lineRule="auto"/>
        <w:ind w:left="3600" w:right="1320" w:hanging="1697"/>
        <w:jc w:val="center"/>
        <w:rPr>
          <w:lang w:val="en-US"/>
        </w:rPr>
      </w:pPr>
      <w:r>
        <w:rPr>
          <w:vertAlign w:val="superscript"/>
        </w:rPr>
        <w:t>1,2,3</w:t>
      </w:r>
      <w:r>
        <w:rPr>
          <w:spacing w:val="-5"/>
        </w:rPr>
        <w:t xml:space="preserve"> </w:t>
      </w:r>
      <w:r w:rsidR="001C12BE" w:rsidRPr="001C12BE">
        <w:rPr>
          <w:lang w:val="en-US"/>
        </w:rPr>
        <w:t>Universitas dr.Soebandi Jember</w:t>
      </w:r>
    </w:p>
    <w:p w:rsidR="00152DB9" w:rsidRDefault="00152DB9" w:rsidP="001C12BE">
      <w:pPr>
        <w:pStyle w:val="BodyText"/>
        <w:spacing w:line="480" w:lineRule="auto"/>
        <w:ind w:left="2700" w:right="1938"/>
        <w:jc w:val="center"/>
        <w:sectPr w:rsidR="00152DB9" w:rsidSect="00825EB1">
          <w:headerReference w:type="default" r:id="rId7"/>
          <w:footerReference w:type="default" r:id="rId8"/>
          <w:type w:val="continuous"/>
          <w:pgSz w:w="11900" w:h="16860"/>
          <w:pgMar w:top="1280" w:right="760" w:bottom="1240" w:left="820" w:header="610" w:footer="1042" w:gutter="0"/>
          <w:pgNumType w:start="121"/>
          <w:cols w:space="720"/>
        </w:sectPr>
      </w:pPr>
    </w:p>
    <w:p w:rsidR="00152DB9" w:rsidRDefault="00152DB9">
      <w:pPr>
        <w:pStyle w:val="BodyText"/>
        <w:ind w:left="0"/>
        <w:jc w:val="left"/>
      </w:pPr>
    </w:p>
    <w:p w:rsidR="00152DB9" w:rsidRDefault="00972965">
      <w:pPr>
        <w:pStyle w:val="BodyText"/>
        <w:ind w:left="0"/>
        <w:jc w:val="left"/>
      </w:pPr>
      <w:r>
        <w:rPr>
          <w:noProof/>
          <w:lang w:val="en-US"/>
        </w:rPr>
        <mc:AlternateContent>
          <mc:Choice Requires="wps">
            <w:drawing>
              <wp:anchor distT="0" distB="0" distL="114300" distR="114300" simplePos="0" relativeHeight="15728640" behindDoc="0" locked="0" layoutInCell="1" allowOverlap="1">
                <wp:simplePos x="0" y="0"/>
                <wp:positionH relativeFrom="page">
                  <wp:posOffset>2148840</wp:posOffset>
                </wp:positionH>
                <wp:positionV relativeFrom="paragraph">
                  <wp:posOffset>43815</wp:posOffset>
                </wp:positionV>
                <wp:extent cx="0" cy="586930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93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CCB28"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2pt,3.45pt" to="169.2pt,4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4sYEQIAACg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" strokeweight=".5pt">
                <w10:wrap anchorx="page"/>
              </v:line>
            </w:pict>
          </mc:Fallback>
        </mc:AlternateContent>
      </w:r>
    </w:p>
    <w:p w:rsidR="00152DB9" w:rsidRDefault="00152DB9">
      <w:pPr>
        <w:pStyle w:val="BodyText"/>
        <w:ind w:left="0"/>
        <w:jc w:val="left"/>
      </w:pPr>
    </w:p>
    <w:p w:rsidR="00152DB9" w:rsidRDefault="00152DB9">
      <w:pPr>
        <w:pStyle w:val="BodyText"/>
        <w:ind w:left="0"/>
        <w:jc w:val="left"/>
      </w:pPr>
    </w:p>
    <w:p w:rsidR="00152DB9" w:rsidRDefault="00152DB9">
      <w:pPr>
        <w:pStyle w:val="BodyText"/>
        <w:spacing w:before="1"/>
        <w:ind w:left="0"/>
        <w:jc w:val="left"/>
        <w:rPr>
          <w:sz w:val="34"/>
        </w:rPr>
      </w:pPr>
    </w:p>
    <w:p w:rsidR="00152DB9" w:rsidRDefault="00BD3A56">
      <w:pPr>
        <w:spacing w:line="252" w:lineRule="exact"/>
        <w:ind w:left="100"/>
        <w:rPr>
          <w:b/>
        </w:rPr>
      </w:pPr>
      <w:r>
        <w:rPr>
          <w:b/>
        </w:rPr>
        <w:t>Penulis</w:t>
      </w:r>
      <w:r>
        <w:rPr>
          <w:b/>
          <w:spacing w:val="-4"/>
        </w:rPr>
        <w:t xml:space="preserve"> </w:t>
      </w:r>
      <w:r>
        <w:rPr>
          <w:b/>
        </w:rPr>
        <w:t>Korespondensi:</w:t>
      </w:r>
    </w:p>
    <w:p w:rsidR="001C12BE" w:rsidRPr="001C12BE" w:rsidRDefault="001C12BE" w:rsidP="001C12BE">
      <w:pPr>
        <w:pStyle w:val="BodyText"/>
        <w:numPr>
          <w:ilvl w:val="0"/>
          <w:numId w:val="2"/>
        </w:numPr>
        <w:spacing w:before="7"/>
        <w:jc w:val="left"/>
        <w:rPr>
          <w:sz w:val="19"/>
        </w:rPr>
      </w:pPr>
      <w:r w:rsidRPr="001C12BE">
        <w:rPr>
          <w:color w:val="000000" w:themeColor="text1"/>
          <w:lang w:val="en-US"/>
        </w:rPr>
        <w:t>Ernawati Anggraeni</w:t>
      </w:r>
    </w:p>
    <w:p w:rsidR="001C12BE" w:rsidRDefault="001C12BE" w:rsidP="001C12BE">
      <w:pPr>
        <w:pStyle w:val="BodyText"/>
        <w:numPr>
          <w:ilvl w:val="0"/>
          <w:numId w:val="2"/>
        </w:numPr>
        <w:spacing w:before="7"/>
        <w:jc w:val="left"/>
        <w:rPr>
          <w:sz w:val="19"/>
        </w:rPr>
      </w:pPr>
      <w:r w:rsidRPr="001C12BE">
        <w:rPr>
          <w:sz w:val="22"/>
          <w:szCs w:val="22"/>
          <w:lang w:val="en-US"/>
        </w:rPr>
        <w:t>Universitas dr.Soebandi Jember</w:t>
      </w:r>
    </w:p>
    <w:p w:rsidR="004424C7" w:rsidRPr="001C12BE" w:rsidRDefault="004B70E0" w:rsidP="001C12BE">
      <w:pPr>
        <w:pStyle w:val="BodyText"/>
        <w:numPr>
          <w:ilvl w:val="0"/>
          <w:numId w:val="2"/>
        </w:numPr>
        <w:spacing w:before="7"/>
        <w:jc w:val="left"/>
        <w:rPr>
          <w:sz w:val="19"/>
        </w:rPr>
      </w:pPr>
      <w:hyperlink r:id="rId9" w:history="1">
        <w:r w:rsidR="001C12BE" w:rsidRPr="001B2050">
          <w:rPr>
            <w:rStyle w:val="Hyperlink"/>
          </w:rPr>
          <w:t>Anggraenierno89@gmail.com</w:t>
        </w:r>
      </w:hyperlink>
    </w:p>
    <w:p w:rsidR="001C12BE" w:rsidRPr="001C12BE" w:rsidRDefault="001C12BE" w:rsidP="001C12BE">
      <w:pPr>
        <w:pStyle w:val="BodyText"/>
        <w:spacing w:before="7"/>
        <w:ind w:left="384"/>
        <w:jc w:val="left"/>
        <w:rPr>
          <w:sz w:val="19"/>
        </w:rPr>
      </w:pPr>
    </w:p>
    <w:p w:rsidR="00152DB9" w:rsidRDefault="00BD3A56">
      <w:pPr>
        <w:ind w:left="82" w:right="1288"/>
        <w:jc w:val="center"/>
        <w:rPr>
          <w:b/>
        </w:rPr>
      </w:pPr>
      <w:r>
        <w:rPr>
          <w:b/>
        </w:rPr>
        <w:t>Kata</w:t>
      </w:r>
      <w:r>
        <w:rPr>
          <w:b/>
          <w:spacing w:val="-4"/>
        </w:rPr>
        <w:t xml:space="preserve"> </w:t>
      </w:r>
      <w:r>
        <w:rPr>
          <w:b/>
        </w:rPr>
        <w:t>Kunci:</w:t>
      </w:r>
    </w:p>
    <w:p w:rsidR="00152DB9" w:rsidRDefault="001C12BE" w:rsidP="001C12BE">
      <w:pPr>
        <w:spacing w:before="3"/>
        <w:ind w:left="-270" w:right="212"/>
        <w:jc w:val="center"/>
        <w:rPr>
          <w:b/>
        </w:rPr>
      </w:pPr>
      <w:r>
        <w:rPr>
          <w:lang w:val="en-US"/>
        </w:rPr>
        <w:t xml:space="preserve">     </w:t>
      </w:r>
      <w:r w:rsidRPr="001C12BE">
        <w:rPr>
          <w:i/>
          <w:lang w:val="en-US"/>
        </w:rPr>
        <w:t>Premarital Chek Up</w:t>
      </w:r>
      <w:r w:rsidRPr="001C12BE">
        <w:rPr>
          <w:lang w:val="en-US"/>
        </w:rPr>
        <w:t>, Catin wanita</w:t>
      </w:r>
      <w:r w:rsidRPr="001C12BE">
        <w:t xml:space="preserve"> </w:t>
      </w:r>
      <w:r w:rsidR="00BD3A56">
        <w:br w:type="column"/>
      </w:r>
      <w:r w:rsidR="00BD3A56">
        <w:rPr>
          <w:b/>
        </w:rPr>
        <w:lastRenderedPageBreak/>
        <w:t>Abstrak</w:t>
      </w:r>
    </w:p>
    <w:p w:rsidR="001C12BE" w:rsidRPr="001C12BE" w:rsidRDefault="001C12BE" w:rsidP="001C12BE">
      <w:pPr>
        <w:pStyle w:val="BodyText"/>
        <w:ind w:left="90" w:right="-73" w:firstLine="540"/>
        <w:rPr>
          <w:lang w:val="en-US"/>
        </w:rPr>
      </w:pPr>
      <w:r w:rsidRPr="001C12BE">
        <w:rPr>
          <w:lang w:val="en-US"/>
        </w:rPr>
        <w:t xml:space="preserve">Program yang dirancang oleh pemerintah untuk meningkatkan kualitas sumber daya manusia baru lahir atau bayi, pemeriksaan digunakan sebagai upaya prefentif, lebih tepatnya pada premarital atau sebelum menikah dengan harapan untuk persiapan kehamilan sehat dalam upaya penurunan AKI dan AKB yaitu program </w:t>
      </w:r>
      <w:r w:rsidRPr="001C12BE">
        <w:rPr>
          <w:i/>
          <w:lang w:val="en-US"/>
        </w:rPr>
        <w:t>Premarital Check up</w:t>
      </w:r>
      <w:r w:rsidRPr="001C12BE">
        <w:rPr>
          <w:lang w:val="en-US"/>
        </w:rPr>
        <w:t xml:space="preserve">. Tujuan dalam kegiatan ini adalah skrining premarital </w:t>
      </w:r>
      <w:r w:rsidRPr="001C12BE">
        <w:rPr>
          <w:i/>
          <w:lang w:val="en-US"/>
        </w:rPr>
        <w:t>chek up</w:t>
      </w:r>
      <w:r w:rsidRPr="001C12BE">
        <w:rPr>
          <w:lang w:val="en-US"/>
        </w:rPr>
        <w:t xml:space="preserve"> bagi calon pengantin wanita. Penelitian ini menggunakan observasi dan pemeriksaan langsung pada calon pengantin wanita, pemeriksaan yang dilakukan diantaranya pemeriksaan fisik tinggi badan, Berat badan, LILA, Tekanan darah , pemeriksaan laboratorium Kadar Hemoglobin, kadar glukosa. Populasi dalam penelitian ini adalah calon pengantin wanita. Hasil pemeriksaan secara langsung kepada calon pengantin wanita terdapat masih adanya calon pengantin wanita yang yang statu gizi dari hitungan IMT masih dalam kategori kurang (21.3%) dan status LILA masih ada dalam kategori kurang (17%), sehingga di butuhkan edukasi tentang Premarital chek up dan persiapan menjadi ibu yang sehat. </w:t>
      </w:r>
    </w:p>
    <w:p w:rsidR="00152DB9" w:rsidRDefault="00152DB9" w:rsidP="001C12BE">
      <w:pPr>
        <w:pStyle w:val="BodyText"/>
        <w:ind w:left="90" w:right="-73" w:firstLine="540"/>
        <w:rPr>
          <w:sz w:val="22"/>
        </w:rPr>
      </w:pPr>
    </w:p>
    <w:p w:rsidR="00152DB9" w:rsidRDefault="00BD3A56">
      <w:pPr>
        <w:pStyle w:val="Heading2"/>
        <w:ind w:firstLine="0"/>
      </w:pPr>
      <w:r>
        <w:t>Abstract</w:t>
      </w:r>
    </w:p>
    <w:p w:rsidR="001C12BE" w:rsidRPr="001C12BE" w:rsidRDefault="004424C7" w:rsidP="001C12BE">
      <w:pPr>
        <w:ind w:right="-253"/>
        <w:jc w:val="both"/>
        <w:rPr>
          <w:i/>
          <w:sz w:val="24"/>
          <w:lang w:val="en-US"/>
        </w:rPr>
      </w:pPr>
      <w:r>
        <w:rPr>
          <w:b/>
          <w:i/>
          <w:sz w:val="24"/>
          <w:lang w:val="en-US"/>
        </w:rPr>
        <w:t xml:space="preserve"> </w:t>
      </w:r>
      <w:r w:rsidR="001C12BE">
        <w:rPr>
          <w:i/>
          <w:sz w:val="24"/>
        </w:rPr>
        <w:tab/>
      </w:r>
      <w:r w:rsidR="001C12BE" w:rsidRPr="001C12BE">
        <w:rPr>
          <w:i/>
          <w:sz w:val="24"/>
          <w:lang w:val="en-US"/>
        </w:rPr>
        <w:t>The Premarital Check-up Program is one of the programs designed by the government to improve the quality of human resources for newborns, examination is used as a preventive, more precisely in premarital or before marriage in the hope of preparing for a healthy pregnancy in an effort to reduce AKI and AKB. The purpose of this activity is premarital check-up screening for prospective brides. This study uses direct observation and examination of prospective brides. The examinations carried out include physical examination of height, weight, LILA, blood pressure, laboratory examination of hemoglobin levels, glucose levels. The population in this study is the bride. The results of direct examination of the prospective bride, there are still prospective brides whose nutritional status is calculated from the count  BMI is still in the poor category (21.3%) and LILA status is still in the poor category (17%), so education is needed about premarital check-up and preparation for being a healthy mother.</w:t>
      </w:r>
    </w:p>
    <w:p w:rsidR="004424C7" w:rsidRPr="004424C7" w:rsidRDefault="004424C7" w:rsidP="00EE27C1">
      <w:pPr>
        <w:ind w:right="-253"/>
        <w:jc w:val="both"/>
        <w:rPr>
          <w:i/>
          <w:sz w:val="24"/>
          <w:lang w:val="en-US"/>
        </w:rPr>
      </w:pPr>
    </w:p>
    <w:p w:rsidR="00A345CC" w:rsidRDefault="00A345CC" w:rsidP="004424C7">
      <w:pPr>
        <w:ind w:right="115"/>
        <w:jc w:val="both"/>
        <w:rPr>
          <w:b/>
          <w:i/>
          <w:spacing w:val="1"/>
          <w:sz w:val="24"/>
        </w:rPr>
        <w:sectPr w:rsidR="00A345CC">
          <w:type w:val="continuous"/>
          <w:pgSz w:w="11900" w:h="16860"/>
          <w:pgMar w:top="1280" w:right="760" w:bottom="1240" w:left="820" w:header="720" w:footer="720" w:gutter="0"/>
          <w:cols w:num="2" w:space="720" w:equalWidth="0">
            <w:col w:w="2575" w:space="78"/>
            <w:col w:w="7667"/>
          </w:cols>
        </w:sectPr>
      </w:pPr>
    </w:p>
    <w:p w:rsidR="00152DB9" w:rsidRDefault="00152DB9">
      <w:pPr>
        <w:jc w:val="both"/>
        <w:rPr>
          <w:sz w:val="24"/>
        </w:rPr>
        <w:sectPr w:rsidR="00152DB9" w:rsidSect="00A345CC">
          <w:type w:val="continuous"/>
          <w:pgSz w:w="11900" w:h="16860"/>
          <w:pgMar w:top="1280" w:right="760" w:bottom="1240" w:left="820" w:header="720" w:footer="720" w:gutter="0"/>
          <w:cols w:space="720"/>
        </w:sectPr>
      </w:pPr>
      <w:bookmarkStart w:id="0" w:name="_GoBack"/>
      <w:bookmarkEnd w:id="0"/>
    </w:p>
    <w:p w:rsidR="00152DB9" w:rsidRDefault="00BD3A56" w:rsidP="00EE27C1">
      <w:pPr>
        <w:pStyle w:val="Heading1"/>
        <w:ind w:left="0" w:firstLine="180"/>
        <w:jc w:val="both"/>
      </w:pPr>
      <w:r>
        <w:lastRenderedPageBreak/>
        <w:t>LATAR</w:t>
      </w:r>
      <w:r>
        <w:rPr>
          <w:spacing w:val="-5"/>
        </w:rPr>
        <w:t xml:space="preserve"> </w:t>
      </w:r>
      <w:r>
        <w:t>BELAKANG</w:t>
      </w:r>
    </w:p>
    <w:p w:rsidR="00152DB9" w:rsidRPr="00972965" w:rsidRDefault="00152DB9" w:rsidP="00972965">
      <w:pPr>
        <w:pStyle w:val="BodyText"/>
        <w:spacing w:before="8" w:line="360" w:lineRule="auto"/>
        <w:ind w:left="0"/>
        <w:jc w:val="left"/>
        <w:rPr>
          <w:b/>
        </w:rPr>
      </w:pPr>
    </w:p>
    <w:p w:rsidR="001C12BE" w:rsidRPr="001C12BE" w:rsidRDefault="001C12BE" w:rsidP="00972965">
      <w:pPr>
        <w:widowControl/>
        <w:tabs>
          <w:tab w:val="left" w:pos="426"/>
        </w:tabs>
        <w:adjustRightInd w:val="0"/>
        <w:spacing w:line="360" w:lineRule="auto"/>
        <w:jc w:val="both"/>
        <w:rPr>
          <w:rFonts w:eastAsia="Calibri"/>
          <w:sz w:val="24"/>
          <w:szCs w:val="24"/>
          <w:lang w:val="en-US"/>
        </w:rPr>
      </w:pPr>
      <w:r w:rsidRPr="001C12BE">
        <w:rPr>
          <w:rFonts w:eastAsia="Calibri"/>
          <w:sz w:val="24"/>
          <w:szCs w:val="24"/>
          <w:lang w:val="en-US"/>
        </w:rPr>
        <w:tab/>
        <w:t>Angka kematian Ibu (AKI) dan angka kematian bayi (AKB) dijadikan indicator untuk menggambarkan kesejahteraan masyarakat di suatu Negara.</w:t>
      </w:r>
      <w:r w:rsidRPr="001C12BE">
        <w:rPr>
          <w:rFonts w:ascii="Calibri" w:eastAsia="Calibri" w:hAnsi="Calibri"/>
          <w:sz w:val="24"/>
          <w:szCs w:val="24"/>
          <w:lang w:val="en-US"/>
        </w:rPr>
        <w:t xml:space="preserve"> </w:t>
      </w:r>
      <w:r w:rsidRPr="001C12BE">
        <w:rPr>
          <w:rFonts w:eastAsia="Calibri"/>
          <w:sz w:val="24"/>
          <w:szCs w:val="24"/>
          <w:lang w:val="en-US"/>
        </w:rPr>
        <w:t xml:space="preserve">Hasil Survei Demografi dan Kesehatan Indonesia (SDKI) tahun 2017 dilaporkan AKB di Indonesia masih tetap tinggi yaitu 24 per 1.000 kelahiran hidup (KH), namun target yang diharapkan dapat menurunkan AKB menjadi 16 per 1.000 kelahiran hidup di tahun 2024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author":[{"dropping-particle":"","family":"Kemenkes","given":"Ri","non-dropping-particle":"","parse-names":false,"suffix":""}],"id":"ITEM-1","issued":{"date-parts":[["2015"]]},"number-of-pages":"https://news.ge/anakliis-porti-aris-qveynis-momava","title":"pedoman pelayanan Kesehatan reproduksi terpadu di tingkat pelayanan kesehatan dasar","type":"book"},"uris":["http://www.mendeley.com/documents/?uuid=1dc90217-9e41-4b24-a9f2-a61336a33eeb"]}],"mendeley":{"formattedCitation":"(Kemenkes, 2015)","plainTextFormattedCitation":"(Kemenkes, 2015)","previouslyFormattedCitation":"(Kemenkes, 2015)"},"properties":{"noteIndex":0},"schema":"https://github.com/citation-style-language/schema/raw/master/csl-citation.json"}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(Kemenkes, 2015)</w:t>
      </w:r>
      <w:r w:rsidRPr="001C12BE">
        <w:rPr>
          <w:rFonts w:eastAsia="Calibri"/>
          <w:sz w:val="24"/>
          <w:szCs w:val="24"/>
          <w:lang w:val="en-US"/>
        </w:rPr>
        <w:fldChar w:fldCharType="end"/>
      </w:r>
      <w:r w:rsidRPr="001C12BE">
        <w:rPr>
          <w:rFonts w:eastAsia="Calibri"/>
          <w:sz w:val="24"/>
          <w:szCs w:val="24"/>
          <w:lang w:val="en-US"/>
        </w:rPr>
        <w:t>. Profil kesehatan di Kabupaten jember angka kematian ibu meningkat dari tahun 2021 sebanyak 30 kasus dan di tahun 2022 terdapat 32 kasus (DINKES JEMBER 2022)</w:t>
      </w:r>
      <w:r w:rsidRPr="001C12BE">
        <w:rPr>
          <w:rFonts w:eastAsia="Calibri"/>
          <w:sz w:val="24"/>
          <w:szCs w:val="24"/>
          <w:lang w:val="en-US"/>
        </w:rPr>
        <w:tab/>
      </w:r>
      <w:r w:rsidRPr="001C12BE">
        <w:rPr>
          <w:rFonts w:eastAsia="Calibri"/>
          <w:sz w:val="24"/>
          <w:szCs w:val="24"/>
          <w:lang w:val="en-US"/>
        </w:rPr>
        <w:tab/>
      </w:r>
      <w:r w:rsidRPr="001C12BE">
        <w:rPr>
          <w:rFonts w:eastAsia="Calibri"/>
          <w:sz w:val="24"/>
          <w:szCs w:val="24"/>
          <w:lang w:val="en-US"/>
        </w:rPr>
        <w:tab/>
      </w:r>
      <w:r w:rsidRPr="001C12BE">
        <w:rPr>
          <w:rFonts w:eastAsia="Calibri"/>
          <w:sz w:val="24"/>
          <w:szCs w:val="24"/>
          <w:lang w:val="en-US"/>
        </w:rPr>
        <w:tab/>
      </w:r>
      <w:r w:rsidRPr="001C12BE">
        <w:rPr>
          <w:rFonts w:eastAsia="Calibri"/>
          <w:sz w:val="24"/>
          <w:szCs w:val="24"/>
          <w:lang w:val="en-US"/>
        </w:rPr>
        <w:tab/>
        <w:t xml:space="preserve">Salah satu intervensi untuk menurunkan angka kematian ibu (AKI) dan angka kematian bayi (AKB) dapat dilakukan dari status kesehatan perempuan sebagai calon ibu harus baik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{"citationItems":[{"id":"ITEM-1","itemData":{"abstract":"Pengaruh globalisasi mengakibatkan perubahan budaya dan gaya hidup sehingga berpengaruh pada beberapa sektor diantaranya kesehatan. Salah satunya perihal memilih pasangan hidup (suami istri) tentunya harus diketahui benar-benar kondisi kesehatannya dan riwayat penyakit yang diderita sehingga nantinya sebagai modal dasar dalam mempersiapkan keluarga sehat. Kurangnya pengetahuan tentang pentingnya premarital check up menjadi penyebab dari kurangnya persiapan yang matang baik secara fisik, psikis maupun sosial bagi calon pengantin. Premarital check up yang diterapkan di setiap Puskesmas sebagai salah satu program pemerintah menjadi solusi untuk membentuk kualitas kesehatan dalam keluarga salah satunya di Puskesmas Tembelang Kabupaten Jombang. Tujuan utama program pengabdian masyarakat (PKM) pada kesempatan ini adalah untuk mengetahui gambaran kesehatan calon pengantin melalui beberapa pemeriksaan yang ada pada Program Pemerintah, serta meningkatkan pengetahuan tentang kesehatan reproduksi calon pengantin. Metode yang digunakan dalam pengabdian masyarakat ini adalah menggunakan data sekunder di Puskesmas dan konseling secara langsung pada calon pengantin. Sasaran Kegiatan adalah calon pengantin yang memeriksakan dirinya ke Puskesmas sejumlah 18 orang yang diambil mulai bulan September sampai dengan Oktober 2021. Pada akhir pertemuan dibentuk grup whatsapp untuk mempermudah koordinasi dan penyampaian informasi antara calon pengantin dan tenaga kesehatan. Hasil kegiatan Pengabdian masyarakat menunjukkan adanya perubahan tingkat pengetahuan tentang kesehatan reproduksi, dan peningkatan derajat kesehatan calon pengantin dalam hal kesiapan fisik, mental dan emosional melalui premarital check up. Kegiatan ini bisa menjadi salah satu solusi untuk pemantauan kesehatan calon ibu dalam mempersiapkan kehamilannya yang bebas KEK dan anemia.","author":[{"dropping-particle":"","family":"Permatasari","given":"R D","non-dropping-particle":"","parse-names":false,"suffix":""},{"dropping-particle":"","family":"Mildiana","given":"Y E","non-dropping-particle":"","parse-names":false,"suffix":""}],"id":"ITEM-1","issue":"2","issued":{"date-parts":[["2021"]]},"page":"62-68","title":"Persiapan Keluarga Sehat dengan Premarital Check Up Calon Pengantin di Wilayah Puskesmas Tembelang Kabupaten Jombang","type":"article-journal","volume":"1"},"uris":["http://www.mendeley.com/documents/?uuid=83b3663b-0dca-4c18-bdf6-1243767bd1ae"]}],"mendeley":{"formattedCitation":"(Permatasari and Mildiana, 2021)","plainTextFormattedCitation":"(Permatasari and Mildiana, 2021)","previouslyFormattedCitation":"(Permatasari and Mildiana, 2021)"},"properties":{"noteIndex":0},"schema":"https://github.com/citation-style-language/schema/raw/master/csl-citation.json"}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(Permatasari and Mildiana, 2021)</w:t>
      </w:r>
      <w:r w:rsidRPr="001C12BE">
        <w:rPr>
          <w:rFonts w:eastAsia="Calibri"/>
          <w:sz w:val="24"/>
          <w:szCs w:val="24"/>
          <w:lang w:val="en-US"/>
        </w:rPr>
        <w:fldChar w:fldCharType="end"/>
      </w:r>
      <w:r w:rsidRPr="001C12BE">
        <w:rPr>
          <w:rFonts w:eastAsia="Calibri"/>
          <w:sz w:val="24"/>
          <w:szCs w:val="24"/>
          <w:lang w:val="en-US"/>
        </w:rPr>
        <w:t xml:space="preserve">, Peraturan Menteri Kesehatan No 97 Tahun 2014 tentang Pelayanan Kesehatan Masa Sebelum Hamil diantaranya pemeriksaan Fisik yang bertujuan untuk mengetahui serta mengidentifikasi status kesehatan calon pengantin, pemeriksaan status gizi bertujuan mengetahui lebih awal mengenai gizi kurang, gizi lebih, serta kekurangan zat gizi mikro. Pemeriksaan dilakukan melalui pemeriksaan kadar Hb, pengukuran IMT perlu diketahui catin untuk menilai status gizi dalam kaitannya dengan persiapan kehamilan dan LILA untuk </w:t>
      </w:r>
      <w:r w:rsidRPr="001C12BE">
        <w:rPr>
          <w:rFonts w:eastAsia="Calibri"/>
          <w:sz w:val="24"/>
          <w:szCs w:val="24"/>
          <w:lang w:val="en-US"/>
        </w:rPr>
        <w:lastRenderedPageBreak/>
        <w:t xml:space="preserve">mengetahui adanya risiko KEK atau kekurangan energi kronis yang berhubungan dengan kejadian BBLR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{"citationItems":[{"id":"ITEM-1","itemData":{"ISBN":"9788578110796","ISSN":"1098-6596","PMID":"25246403","abstract":"Penelitian ini bertujuan untuk mengetahui pengaruh harga diskon dan persepsi produk terhadap nilai belanja serta perilaku pembelian konsumen untuk kategori produk fashion. Penelitian ini dilakukan di sebuah department store yang terletak di dalam pusat perbelanjaan Tunjungan Plaza Surabaya. Sebanyak 100 orang responden menjadi volunter di dalam penelitian ini, sedangkan untuk batasan kategori produk fashion yang diteliti meliputi pakaian, tas, alas kaki (sepatu, sandal dan sepatu sandal), serta aksesoris (kacamata, perhiasan dan topi). Hasil penelitian ini menunjukkan bahwa harga diskon berpengaruh terhadap belanja hedonik konsumen. Begitu pula pada variabel persepsi produk dapat meningkatkan belanja hedonik. Selanjutnya pengaruh positif juga ditunjukkan pada variabel persepsi produk terhadap belanja utilitarian konsumen, dan belanja hedonik serta utilitarian memiliki pengaruh yang positif terhadap perilaku pembelian konsumen di department store. Keywords:","author":[{"dropping-particle":"","family":"Akbarjono.","given":"Ali Eliyana","non-dropping-particle":"","parse-names":false,"suffix":""}],"container-title":"Cv. Zigie Utama","id":"ITEM-1","issued":{"date-parts":[["2019"]]},"number-of-pages":"143","title":"Modul Bimbingan Perkawinan Untuk Calon Pengantin","type":"book"},"uris":["http://www.mendeley.com/documents/?uuid=afeb31e4-247c-4faf-a88c-5ff0ed087d3f"]},{"id":"ITEM-2","itemData":{"abstract":"Seiring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Kata","author":[{"dropping-particle":"","family":"Ansori","given":"","non-dropping-particle":"","parse-names":false,"suffix":""}],"id":"ITEM-2","issue":"April","issued":{"date-parts":[["2015"]]},"page":"49-58","title":"Pemeriksaan Kesehatan bagi Calon Pengantin","type":"article-journal","volume":"3"},"uris":["http://www.mendeley.com/documents/?uuid=218b37ae-7616-4723-8c13-02aac1529f6a"]}],"mendeley":{"formattedCitation":"(Ansori, 2015; Akbarjono., 2019)","plainTextFormattedCitation":"(Ansori, 2015; Akbarjono., 2019)","previouslyFormattedCitation":"(Ansori, 2015; Akbarjono., 2019)"},"properties":{"noteIndex":0},"schema":"https://github.com/citation-style-language/schema/raw/master/csl-citation.json"}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(Ansori, 2015; Akbarjono., 2019)</w:t>
      </w:r>
      <w:r w:rsidRPr="001C12BE">
        <w:rPr>
          <w:rFonts w:eastAsia="Calibri"/>
          <w:sz w:val="24"/>
          <w:szCs w:val="24"/>
          <w:lang w:val="en-US"/>
        </w:rPr>
        <w:fldChar w:fldCharType="end"/>
      </w:r>
    </w:p>
    <w:p w:rsidR="001C12BE" w:rsidRPr="001C12BE" w:rsidRDefault="001C12BE" w:rsidP="00972965">
      <w:pPr>
        <w:widowControl/>
        <w:tabs>
          <w:tab w:val="left" w:pos="426"/>
        </w:tabs>
        <w:adjustRightInd w:val="0"/>
        <w:spacing w:line="360" w:lineRule="auto"/>
        <w:jc w:val="both"/>
        <w:rPr>
          <w:rFonts w:eastAsia="Calibri"/>
          <w:sz w:val="24"/>
          <w:szCs w:val="24"/>
          <w:lang w:val="en-US"/>
        </w:rPr>
      </w:pPr>
      <w:r w:rsidRPr="001C12BE">
        <w:rPr>
          <w:rFonts w:eastAsia="Calibri"/>
          <w:sz w:val="24"/>
          <w:szCs w:val="24"/>
          <w:lang w:val="en-US"/>
        </w:rPr>
        <w:tab/>
        <w:t xml:space="preserve">Kesehatan reproduksi calon pengantin harus dipersiapkan sejak dini agar bisa terwujud kehamilan yang sehat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{"citationItems":[{"id":"ITEM-1","itemData":{"DOI":"10.22146/jkr.55481","ISSN":"2302-836X","abstract":"Latar Belakang: Kesehatan prakonsepsi merupakan bagian dari kesehatan secara keseluruhan antara perempuan dan laki-laki selama masa reproduksinya. Skrining prakonsepsi berguna untuk mengurangi resiko dan mempromosikan gaya hidup sehat untuk mempersiapkan kehamilan sehat.Tujuan: Untuk mengeksplorasi pelaksanaan skrining prakonsepsi pada calon pengantin perempuan.Metode: Penelitian kualitatif dengan pendekatan fenomenologi.Hasil dan Pembahasan: Pelaksanaan skrining prakonsepsi pada calon pengantin perempuan terdiri dari pemeriksaan fisik, pemeriksaan penunjang berupa pemeriksaan laboratorium wajib dan rekomendasi, pemberian imunisasi Tetanus Toxoid, suplementasi gizi, konsultasi kesehatan dan pelayanan psikologi.Kesimpulan: Pelaksanaan skrining prakonsepsi sudah mengacu pada standar minimal. Kata Kunci: Calon pengantin perempuan; skrining prakonsepsi ","author":[{"dropping-particle":"","family":"Yulivantina","given":"Eka Vicky","non-dropping-particle":"","parse-names":false,"suffix":""},{"dropping-particle":"","family":"Mufdlilah","given":"Mufdlilah","non-dropping-particle":"","parse-names":false,"suffix":""},{"dropping-particle":"","family":"Kurniawati","given":"Herlin Fitriana","non-dropping-particle":"","parse-names":false,"suffix":""}],"container-title":"Jurnal Kesehatan Reproduksi","id":"ITEM-1","issue":"1","issued":{"date-parts":[["2021"]]},"page":"47","title":"Pelaksanaan Skrining Prakonsepsi pada Calon Pengantin Perempuan","type":"article-journal","volume":"8"},"uris":["http://www.mendeley.com/documents/?uuid=220514cd-2cac-46a5-bdcf-5ad6e25a2f9c"]}],"mendeley":{"formattedCitation":"(Yulivantina, Mufdlilah and Kurniawati, 2021)","plainTextFormattedCitation":"(Yulivantina, Mufdlilah and Kurniawati, 2021)","previouslyFormattedCitation":"(Yulivantina, Mufdlilah and Kurniawati, 2021)"},"properties":{"noteIndex":0},"schema":"https://github.com/citation-style-language/schema/raw/master/csl-citation.json"}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(Yulivantina, Mufdlilah and Kurniawati, 2021)</w:t>
      </w:r>
      <w:r w:rsidRPr="001C12BE">
        <w:rPr>
          <w:rFonts w:eastAsia="Calibri"/>
          <w:sz w:val="24"/>
          <w:szCs w:val="24"/>
          <w:lang w:val="en-US"/>
        </w:rPr>
        <w:fldChar w:fldCharType="end"/>
      </w:r>
      <w:r w:rsidRPr="001C12BE">
        <w:rPr>
          <w:rFonts w:eastAsia="Calibri"/>
          <w:sz w:val="24"/>
          <w:szCs w:val="24"/>
          <w:lang w:val="en-US"/>
        </w:rPr>
        <w:t xml:space="preserve">. Perempuan lebih rentan mengalami resiko kesehatan reproduksi seperti kehamilan, melahirkan, aborsi yang tidak aman dan pemakaian alat kontrasepsi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{"citationItems":[{"id":"ITEM-1","itemData":{"ISBN":"9780080453705","ISSN":"1098-6596","PMID":"25246403","abstract":"Immigration is changing the racial composition of many societies. Yet leading theories of racial prejudice, even in a multiracial context, focus on dynamics in a single nation-state and fail to account for the experiences of the foreign-born. We adopt a transnational approach which incorporates processes creating prejudice from both inside and outside the receiving society, and which shows how attitudes move across borders through immigration, transnationalism, and globalization. We draw upon two in-depth studies of immigrants and those who stay in the home countries, focusing on Koreans’ and Dominicans’ attitudes toward Black Americans. By situating existing theories of racial prejudice within a transnational framework, we illustrate how models of transnationalism are relevant not just within immigration scholarship, but to more general processes of social change. In","author":[{"dropping-particle":"","family":"Kemenkes RI","given":"","non-dropping-particle":"","parse-names":false,"suffix":""}],"container-title":"International Migration Review","id":"ITEM-1","issue":"2","issued":{"date-parts":[["2018"]]},"page":"330-373.","title":"Buku Saku Bagi Calon Pengantin","type":"article-journal","volume":"47"},"uris":["http://www.mendeley.com/documents/?uuid=9ebabcca-928d-4c80-b388-807c4d667b04"]}],"mendeley":{"formattedCitation":"(Kemenkes RI, 2018)","plainTextFormattedCitation":"(Kemenkes RI, 2018)","previouslyFormattedCitation":"(Kemenkes RI, 2018)"},"properties":{"noteIndex":0},"schema":"https://github.com/citation-style-language/schema/raw/master/csl-citation.json"}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(Kemenkes RI, 2018)</w:t>
      </w:r>
      <w:r w:rsidRPr="001C12BE">
        <w:rPr>
          <w:rFonts w:eastAsia="Calibri"/>
          <w:sz w:val="24"/>
          <w:szCs w:val="24"/>
          <w:lang w:val="en-US"/>
        </w:rPr>
        <w:fldChar w:fldCharType="end"/>
      </w:r>
      <w:r w:rsidRPr="001C12BE">
        <w:rPr>
          <w:rFonts w:eastAsia="Calibri"/>
          <w:sz w:val="24"/>
          <w:szCs w:val="24"/>
          <w:lang w:val="en-US"/>
        </w:rPr>
        <w:t xml:space="preserve">. </w:t>
      </w:r>
    </w:p>
    <w:p w:rsidR="001C12BE" w:rsidRPr="001C12BE" w:rsidRDefault="001C12BE" w:rsidP="00972965">
      <w:pPr>
        <w:widowControl/>
        <w:tabs>
          <w:tab w:val="left" w:pos="426"/>
        </w:tabs>
        <w:adjustRightInd w:val="0"/>
        <w:spacing w:line="360" w:lineRule="auto"/>
        <w:jc w:val="both"/>
        <w:rPr>
          <w:rFonts w:eastAsia="Calibri"/>
          <w:sz w:val="24"/>
          <w:szCs w:val="24"/>
          <w:lang w:val="en-US"/>
        </w:rPr>
      </w:pPr>
      <w:r w:rsidRPr="001C12BE">
        <w:rPr>
          <w:rFonts w:eastAsia="Calibri"/>
          <w:sz w:val="24"/>
          <w:szCs w:val="24"/>
          <w:lang w:val="en-US"/>
        </w:rPr>
        <w:tab/>
        <w:t xml:space="preserve">Hak reproduksi dan seksual menjamin keselamatan dan keamanan calon pengantin, diantaranya mendapatkan informasi yang lengkap terkait kesehatan reproduksi dan seksual, serta efeksamping obat-obatan, alat dan tindakan medis yang digunakan untuk mengatasi masalah kesehatan reproduksi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{"citationItems":[{"id":"ITEM-1","itemData":{"DOI":"10.22146/jkr.47128","ISSN":"2302-836X","abstract":"Background: Every individual needs to know about the issues of sexuality and reproduction before marriage so the reproduction health education is important to give to the prospective bride and groom.  Technology-based education is an innovative pathway for providing health information.Objective: to determine the effectiveness of reproduction health education on the improving of knowledge of the prospective bride and groom.Method: Quasi-Experimental research with pretest posttest in Non-equivalent Control Group Design.  The data were obtained from a knowledge questionnaire filled out by the prospective bride and groom. This research was conducted at KUA (the Civil Registry Office) Mlati and Gamping, Sleman Regency.Results and Discussion: There was an increase in the average posttest score of knowledge in each group.  Based on the results of the data analysis, it was found that the respondents who were given reproduction health education through cellular experienced a greater increase in the post-test score (the difference between the average pretest and post-test score is 5.67) compared to the group who were not given reproduction health education via cellular (the average difference between the pretest and post-test score is 2.2).  The Cellular-based reproduction health education significantly (p value = 0.00) influences the prospective bride and groom’s knowledge of the reproduction health.Conclusion: Cellular-based reproduction health education can improve the knowledge of the prospective bride and groom about the reproduction health. Keywords: Reproduction Health; Cellular; Knowledge; Premarital.","author":[{"dropping-particle":"","family":"Mayasari","given":"Ade Tyas","non-dropping-particle":"","parse-names":false,"suffix":""},{"dropping-particle":"","family":"Hakimi","given":"Mohammad","non-dropping-particle":"","parse-names":false,"suffix":""},{"dropping-particle":"","family":"Hani EN","given":"Umu","non-dropping-particle":"","parse-names":false,"suffix":""},{"dropping-particle":"","family":"Setyonugroho","given":"Winny","non-dropping-particle":"","parse-names":false,"suffix":""}],"container-title":"Jurnal Kesehatan Reproduksi","id":"ITEM-1","issue":"1","issued":{"date-parts":[["2020"]]},"page":"1","title":"Efektivitas Pendidikan Kesehatan Reproduksi Berbasis Seluler pada Calon Pengantin terhadap Peningkatan Pengetahuan Kesehatan","type":"article-journal","volume":"7"},"uris":["http://www.mendeley.com/documents/?uuid=0147f64c-05cb-440b-a2f9-e52e54b2bfdd"]}],"mendeley":{"formattedCitation":"(Mayasari &lt;i&gt;et al.&lt;/i&gt;, 2020)","plainTextFormattedCitation":"(Mayasari et al., 2020)","previouslyFormattedCitation":"(Mayasari &lt;i&gt;et al.&lt;/i&gt;, 2020)"},"properties":{"noteIndex":0},"schema":"https://github.com/citation-style-language/schema/raw/master/csl-citation.json"}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 xml:space="preserve">(Mayasari </w:t>
      </w:r>
      <w:r w:rsidRPr="001C12BE">
        <w:rPr>
          <w:rFonts w:eastAsia="Calibri"/>
          <w:i/>
          <w:noProof/>
          <w:sz w:val="24"/>
          <w:szCs w:val="24"/>
          <w:lang w:val="en-US"/>
        </w:rPr>
        <w:t>et al.</w:t>
      </w:r>
      <w:r w:rsidRPr="001C12BE">
        <w:rPr>
          <w:rFonts w:eastAsia="Calibri"/>
          <w:noProof/>
          <w:sz w:val="24"/>
          <w:szCs w:val="24"/>
          <w:lang w:val="en-US"/>
        </w:rPr>
        <w:t>, 2020)</w:t>
      </w:r>
      <w:r w:rsidRPr="001C12BE">
        <w:rPr>
          <w:rFonts w:eastAsia="Calibri"/>
          <w:sz w:val="24"/>
          <w:szCs w:val="24"/>
          <w:lang w:val="en-US"/>
        </w:rPr>
        <w:fldChar w:fldCharType="end"/>
      </w:r>
    </w:p>
    <w:p w:rsidR="001C12BE" w:rsidRPr="001C12BE" w:rsidRDefault="001C12BE" w:rsidP="00972965">
      <w:pPr>
        <w:widowControl/>
        <w:tabs>
          <w:tab w:val="left" w:pos="426"/>
        </w:tabs>
        <w:adjustRightInd w:val="0"/>
        <w:spacing w:line="360" w:lineRule="auto"/>
        <w:jc w:val="both"/>
        <w:rPr>
          <w:rFonts w:eastAsia="Calibri"/>
          <w:sz w:val="24"/>
          <w:szCs w:val="24"/>
          <w:lang w:val="en-US"/>
        </w:rPr>
      </w:pPr>
      <w:r w:rsidRPr="001C12BE">
        <w:rPr>
          <w:rFonts w:eastAsia="Calibri"/>
          <w:sz w:val="24"/>
          <w:szCs w:val="24"/>
          <w:lang w:val="en-US"/>
        </w:rPr>
        <w:tab/>
        <w:t xml:space="preserve">Upaya pemerintah pemerintah dalam meningkatkan kualitas sumber daya manusia salah satunya dengan program </w:t>
      </w:r>
      <w:r w:rsidRPr="001C12BE">
        <w:rPr>
          <w:rFonts w:eastAsia="Calibri"/>
          <w:i/>
          <w:sz w:val="24"/>
          <w:szCs w:val="24"/>
          <w:lang w:val="en-US"/>
        </w:rPr>
        <w:t>Premarital check up</w:t>
      </w:r>
      <w:r w:rsidRPr="001C12BE">
        <w:rPr>
          <w:rFonts w:eastAsia="Calibri"/>
          <w:sz w:val="24"/>
          <w:szCs w:val="24"/>
          <w:lang w:val="en-US"/>
        </w:rPr>
        <w:t xml:space="preserve"> lebih tepatnya pada </w:t>
      </w:r>
      <w:r w:rsidRPr="001C12BE">
        <w:rPr>
          <w:rFonts w:eastAsia="Calibri"/>
          <w:i/>
          <w:sz w:val="24"/>
          <w:szCs w:val="24"/>
          <w:lang w:val="en-US"/>
        </w:rPr>
        <w:t>premarital</w:t>
      </w:r>
      <w:r w:rsidRPr="001C12BE">
        <w:rPr>
          <w:rFonts w:eastAsia="Calibri"/>
          <w:sz w:val="24"/>
          <w:szCs w:val="24"/>
          <w:lang w:val="en-US"/>
        </w:rPr>
        <w:t xml:space="preserve"> sebelum berlangsungnya pernikahan</w:t>
      </w:r>
      <w:r w:rsidRPr="001C12BE">
        <w:rPr>
          <w:rFonts w:eastAsia="Calibri"/>
          <w:i/>
          <w:sz w:val="24"/>
          <w:szCs w:val="24"/>
          <w:lang w:val="en-US"/>
        </w:rPr>
        <w:t xml:space="preserve"> </w:t>
      </w:r>
      <w:r w:rsidRPr="001C12BE">
        <w:rPr>
          <w:rFonts w:eastAsia="Calibri"/>
          <w:i/>
          <w:sz w:val="24"/>
          <w:szCs w:val="24"/>
          <w:lang w:val="en-US"/>
        </w:rPr>
        <w:fldChar w:fldCharType="begin" w:fldLock="1"/>
      </w:r>
      <w:r w:rsidRPr="001C12BE">
        <w:rPr>
          <w:rFonts w:eastAsia="Calibri"/>
          <w:i/>
          <w:sz w:val="24"/>
          <w:szCs w:val="24"/>
          <w:lang w:val="en-US"/>
        </w:rPr>
        <w:instrText>ADDIN CSL_CITATION {"citationItems":[{"id":"ITEM-1","itemData":{"DOI":"10.21043/yudisia.v10i1.4684","ISSN":"1907-7262","abstract":"&lt;p&gt;&lt;span lang=\"EN-ID\"&gt;Kesehatan sering tidak mendapat porsi perhatian dalam persiapan perkawinan. Hal ini dapat dilihat dari ketiadaan peraturan perundang-undangan tentang ini baik dalam KHI ataupun UU Perkawinan. Ditambah pula dalam fiqih klasik pun tidak ditemukan pembahasan tes kesehatan sebagai salah satu syarat pra nikah. Di Indonesia telah diterapkan Imunisasi Tetanus Toksoid bagi calon pengantin perempuan untuk mencegah Tetanus, TBC, Differi, Batuk Rejan dan Campak, tidak dapat mengetahui riwayat kesehatan calon pasangan dan penyakit menular seksual dan keturunan, seperti HIV/AIDS dan Thalasemia yang semakin mewabah dengan angka yang semakin meningkat pada tiap tahunnya. Cek kesehatan bagi pasangan yang akan menikah menjadi salah satu solusi pencegahan bertambahnya angka penyakit ini, karena cek kesehatan lebih komprehensif. Keharmonisan rumah tangga dengan kehadiran keturunan sehat dari rumah tangga yang sehat pula. Pemeliharaan keturunan menjadi salah satu bagian dari Maqashid al-Syariah. &lt;/span&gt;&lt;/p&gt;&lt;p&gt;&lt;span lang=\"EN-ID\"&gt; &lt;/span&gt;&lt;/p&gt;&lt;p&gt;&lt;span lang=\"EN-ID\"&gt;Penelitian ini bersifat study literatur, dan memberikan sebuah hasil: Praktek ini telah diterapkan oleh banyak negara, salah satunya di Kuwait yang menerapkan peraturan ini sebagai salah satu contoh untuk dapat dipertimbangkan penerapannya di negara Indonesia. Tentu penerapan ini bersifat ijtihadiyyah, yang dapat berganti sesuai dengan kondisi yang malatarbelakangi. &lt;/span&gt;&lt;/p&gt;&lt;p&gt;&lt;span&gt;&lt;span style=\"font-family: Times New Roman; font-size: medium;\"&gt; &lt;/span&gt;&lt;/span&gt;&lt;/p&gt;","author":[{"dropping-particle":"","family":"Munawaroh","given":"Lathifah","non-dropping-particle":"","parse-names":false,"suffix":""}],"container-title":"YUDISIA : Jurnal Pemikiran Hukum dan Hukum Islam","id":"ITEM-1","issue":"1","issued":{"date-parts":[["2019"]]},"title":"Kesehatan Tes Sebagai Syarat Pra Nikah (Studi UU Pernikahan di Kuwait)","type":"article-journal","volume":"10"},"uris":["http://www.mendeley.com/documents/?uuid=548c7a83-fb41-4c2b-8084-95e29375edeb"]}],"mendeley":{"formattedCitation":"(Munawaroh, 2019)","plainTextFormattedCitation":"(Munawaroh, 2019)","previouslyFormattedCitation":"(Munawaroh, 2019)"},"properties":{"noteIndex":0},"schema":"https://github.com/citation-style-language/schema/raw/master/csl-citation.json"}</w:instrText>
      </w:r>
      <w:r w:rsidRPr="001C12BE">
        <w:rPr>
          <w:rFonts w:eastAsia="Calibri"/>
          <w:i/>
          <w:sz w:val="24"/>
          <w:szCs w:val="24"/>
          <w:lang w:val="en-US"/>
        </w:rPr>
        <w:fldChar w:fldCharType="separate"/>
      </w:r>
      <w:r w:rsidRPr="001C12BE">
        <w:rPr>
          <w:rFonts w:eastAsia="Calibri"/>
          <w:noProof/>
          <w:sz w:val="24"/>
          <w:szCs w:val="24"/>
          <w:lang w:val="en-US"/>
        </w:rPr>
        <w:t>(Munawaroh, 2019)</w:t>
      </w:r>
      <w:r w:rsidRPr="001C12BE">
        <w:rPr>
          <w:rFonts w:eastAsia="Calibri"/>
          <w:i/>
          <w:sz w:val="24"/>
          <w:szCs w:val="24"/>
          <w:lang w:val="en-US"/>
        </w:rPr>
        <w:fldChar w:fldCharType="end"/>
      </w:r>
      <w:r w:rsidRPr="001C12BE">
        <w:rPr>
          <w:rFonts w:eastAsia="Calibri"/>
          <w:sz w:val="24"/>
          <w:szCs w:val="24"/>
          <w:lang w:val="en-US"/>
        </w:rPr>
        <w:t xml:space="preserve">. Program </w:t>
      </w:r>
      <w:r w:rsidRPr="001C12BE">
        <w:rPr>
          <w:rFonts w:eastAsia="Calibri"/>
          <w:i/>
          <w:sz w:val="24"/>
          <w:szCs w:val="24"/>
          <w:lang w:val="en-US"/>
        </w:rPr>
        <w:t>Premarital Check up</w:t>
      </w:r>
      <w:r w:rsidRPr="001C12BE">
        <w:rPr>
          <w:rFonts w:eastAsia="Calibri"/>
          <w:sz w:val="24"/>
          <w:szCs w:val="24"/>
          <w:lang w:val="en-US"/>
        </w:rPr>
        <w:t xml:space="preserve"> di Indonesia sudah mulai diketahui oleh masyarakat dan dilaksanakan sebagai persyaratan sebelum malaksanakan pernikahan bagi calon pengantin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{"citationItems":[{"id":"ITEM-1","itemData":{"ISBN":"9789896540821","ISSN":"14664461","PMID":"32355299","abstract":"We ship printed books within 1 business day; personal PDFs are available immediately.","author":[{"dropping-particle":"","family":"Khusni","given":"Tamrin","non-dropping-particle":"","parse-names":false,"suffix":""}],"container-title":"Sustainability (Switzerland)","id":"ITEM-1","issue":"1","issued":{"date-parts":[["2020"]]},"page":"1-9","title":"kesehatan pranikah (Premarital Check Up) prespektif Maqashid Al Syari'ah","type":"article-journal","volume":"4"},"uris":["http://www.mendeley.com/documents/?uuid=1506af08-a5cb-4d7b-a8ec-3240e6a49925"]}],"mendeley":{"formattedCitation":"(Khusni, 2020)","plainTextFormattedCitation":"(Khusni, 2020)","previouslyFormattedCitation":"(Khusni, 2020)"},"properties":{"noteIndex":0},"schema":"https://github.com/citation-style-language/schema/raw/master/csl-citation.json"}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(Khusni, 2020)</w:t>
      </w:r>
      <w:r w:rsidRPr="001C12BE">
        <w:rPr>
          <w:rFonts w:eastAsia="Calibri"/>
          <w:sz w:val="24"/>
          <w:szCs w:val="24"/>
          <w:lang w:val="en-US"/>
        </w:rPr>
        <w:fldChar w:fldCharType="end"/>
      </w:r>
      <w:r w:rsidRPr="001C12BE">
        <w:rPr>
          <w:rFonts w:eastAsia="Calibri"/>
          <w:sz w:val="24"/>
          <w:szCs w:val="24"/>
          <w:lang w:val="en-US"/>
        </w:rPr>
        <w:t xml:space="preserve">. </w:t>
      </w:r>
    </w:p>
    <w:p w:rsidR="001C12BE" w:rsidRPr="001C12BE" w:rsidRDefault="001C12BE" w:rsidP="00972965">
      <w:pPr>
        <w:widowControl/>
        <w:tabs>
          <w:tab w:val="left" w:pos="426"/>
        </w:tabs>
        <w:adjustRightInd w:val="0"/>
        <w:spacing w:line="360" w:lineRule="auto"/>
        <w:jc w:val="both"/>
        <w:rPr>
          <w:rFonts w:eastAsia="Calibri"/>
          <w:sz w:val="24"/>
          <w:szCs w:val="24"/>
          <w:lang w:val="en-US"/>
        </w:rPr>
      </w:pPr>
    </w:p>
    <w:p w:rsidR="001C12BE" w:rsidRPr="001C12BE" w:rsidRDefault="001C12BE" w:rsidP="00972965">
      <w:pPr>
        <w:widowControl/>
        <w:tabs>
          <w:tab w:val="left" w:pos="426"/>
        </w:tabs>
        <w:adjustRightInd w:val="0"/>
        <w:spacing w:line="360" w:lineRule="auto"/>
        <w:jc w:val="both"/>
        <w:rPr>
          <w:rFonts w:eastAsia="Calibri"/>
          <w:b/>
          <w:sz w:val="24"/>
          <w:szCs w:val="24"/>
          <w:lang w:val="en-US"/>
        </w:rPr>
      </w:pPr>
      <w:r w:rsidRPr="001C12BE">
        <w:rPr>
          <w:rFonts w:eastAsia="Calibri"/>
          <w:b/>
          <w:sz w:val="24"/>
          <w:szCs w:val="24"/>
          <w:lang w:val="en-US"/>
        </w:rPr>
        <w:t>METODE</w:t>
      </w:r>
      <w:r w:rsidRPr="001C12BE">
        <w:rPr>
          <w:rFonts w:eastAsia="Calibri"/>
          <w:sz w:val="24"/>
          <w:szCs w:val="24"/>
          <w:lang w:val="en-US"/>
        </w:rPr>
        <w:t xml:space="preserve"> </w:t>
      </w:r>
    </w:p>
    <w:p w:rsidR="001C12BE" w:rsidRPr="001C12BE" w:rsidRDefault="001C12BE" w:rsidP="00972965">
      <w:pPr>
        <w:widowControl/>
        <w:tabs>
          <w:tab w:val="left" w:pos="426"/>
        </w:tabs>
        <w:adjustRightInd w:val="0"/>
        <w:spacing w:line="360" w:lineRule="auto"/>
        <w:jc w:val="both"/>
        <w:rPr>
          <w:rFonts w:eastAsia="Calibri"/>
          <w:sz w:val="24"/>
          <w:szCs w:val="24"/>
          <w:lang w:val="en-US"/>
        </w:rPr>
      </w:pPr>
      <w:r w:rsidRPr="001C12BE">
        <w:rPr>
          <w:rFonts w:eastAsia="Calibri"/>
          <w:sz w:val="24"/>
          <w:szCs w:val="24"/>
          <w:lang w:val="en-US"/>
        </w:rPr>
        <w:tab/>
        <w:t xml:space="preserve">Penelitian ini merupakah penelitian deskriptif dengan pendekatan </w:t>
      </w:r>
      <w:r w:rsidRPr="001C12BE">
        <w:rPr>
          <w:rFonts w:eastAsia="Calibri"/>
          <w:i/>
          <w:sz w:val="24"/>
          <w:szCs w:val="24"/>
          <w:lang w:val="en-US"/>
        </w:rPr>
        <w:t>cross-sectional</w:t>
      </w:r>
      <w:r w:rsidRPr="001C12BE">
        <w:rPr>
          <w:rFonts w:eastAsia="Calibri"/>
          <w:sz w:val="24"/>
          <w:szCs w:val="24"/>
          <w:lang w:val="en-US"/>
        </w:rPr>
        <w:t xml:space="preserve">. </w:t>
      </w:r>
      <w:r w:rsidRPr="001C12BE">
        <w:rPr>
          <w:rFonts w:eastAsia="Calibri"/>
          <w:sz w:val="24"/>
          <w:szCs w:val="24"/>
          <w:lang w:val="en-US"/>
        </w:rPr>
        <w:lastRenderedPageBreak/>
        <w:t xml:space="preserve">Populasi dalam penelitian ini adalah calon pengantin wanita yang terdaftar di Kantor Urusan Agama Kecamatan kaliwates. Jumlah sampel dalam penelitian ini sebanyak 47 calon pengantin wanita. Kriteria inklusi penilitian ini adalah calon pengantin perempuan bisa baca tulis, terdaftar di register Kantor urusan Agama, bersedia berperan aktif dalam penelitian, belum pernah menikah sebelumnya, belum pernah hamil dan melahirkan sebelumnya. </w:t>
      </w:r>
    </w:p>
    <w:p w:rsidR="001C12BE" w:rsidRPr="001C12BE" w:rsidRDefault="001C12BE" w:rsidP="00972965">
      <w:pPr>
        <w:widowControl/>
        <w:tabs>
          <w:tab w:val="left" w:pos="426"/>
        </w:tabs>
        <w:adjustRightInd w:val="0"/>
        <w:spacing w:line="360" w:lineRule="auto"/>
        <w:jc w:val="both"/>
        <w:rPr>
          <w:rFonts w:eastAsia="Calibri"/>
          <w:sz w:val="24"/>
          <w:szCs w:val="24"/>
          <w:lang w:val="en-US"/>
        </w:rPr>
      </w:pPr>
      <w:r w:rsidRPr="001C12BE">
        <w:rPr>
          <w:rFonts w:eastAsia="Calibri"/>
          <w:sz w:val="24"/>
          <w:szCs w:val="24"/>
          <w:lang w:val="en-US"/>
        </w:rPr>
        <w:tab/>
        <w:t>Penelitian dilakukan secara observasi dan pemeriksaan langsung pada calon pengantin wanita, pemeriksaan yang dilakukan diantaranya pemeriksaan fisik tinggi badan, Berat badan, LILA, Tekanan darah , pemeriksaan laboratorium Kadar Hemoglobin, kadar glukosa. Populasi dalam penelitian ini adalah calon pengantin wanita.</w:t>
      </w:r>
    </w:p>
    <w:p w:rsidR="001C12BE" w:rsidRPr="001C12BE" w:rsidRDefault="001C12BE" w:rsidP="001C12BE">
      <w:pPr>
        <w:widowControl/>
        <w:tabs>
          <w:tab w:val="left" w:pos="426"/>
        </w:tabs>
        <w:adjustRightInd w:val="0"/>
        <w:jc w:val="both"/>
        <w:rPr>
          <w:rFonts w:eastAsia="Calibri"/>
          <w:lang w:val="en-US"/>
        </w:rPr>
      </w:pPr>
    </w:p>
    <w:p w:rsidR="001C12BE" w:rsidRPr="001C12BE" w:rsidRDefault="001C12BE" w:rsidP="00972965">
      <w:pPr>
        <w:widowControl/>
        <w:autoSpaceDE/>
        <w:autoSpaceDN/>
        <w:spacing w:line="360" w:lineRule="auto"/>
        <w:contextualSpacing/>
        <w:rPr>
          <w:rFonts w:eastAsia="Calibri" w:cs="Arial"/>
          <w:sz w:val="24"/>
          <w:szCs w:val="24"/>
          <w:lang w:val="en-US"/>
        </w:rPr>
      </w:pPr>
      <w:r w:rsidRPr="001C12BE">
        <w:rPr>
          <w:rFonts w:cs="Arial"/>
          <w:b/>
          <w:sz w:val="24"/>
          <w:szCs w:val="24"/>
          <w:lang w:val="en-US"/>
        </w:rPr>
        <w:t>HASIL</w:t>
      </w:r>
    </w:p>
    <w:p w:rsidR="001C12BE" w:rsidRPr="001C12BE" w:rsidRDefault="001C12BE" w:rsidP="00972965">
      <w:pPr>
        <w:widowControl/>
        <w:autoSpaceDE/>
        <w:autoSpaceDN/>
        <w:spacing w:line="360" w:lineRule="auto"/>
        <w:ind w:left="709" w:hanging="709"/>
        <w:jc w:val="both"/>
        <w:rPr>
          <w:rFonts w:eastAsia="Calibri"/>
          <w:sz w:val="24"/>
          <w:szCs w:val="24"/>
          <w:lang w:val="id-ID"/>
        </w:rPr>
      </w:pPr>
      <w:r w:rsidRPr="001C12BE">
        <w:rPr>
          <w:rFonts w:eastAsia="Calibri"/>
          <w:sz w:val="24"/>
          <w:szCs w:val="24"/>
          <w:lang w:val="id-ID"/>
        </w:rPr>
        <w:t>Tabel</w:t>
      </w:r>
      <w:r w:rsidRPr="001C12BE">
        <w:rPr>
          <w:rFonts w:eastAsia="Calibri"/>
          <w:sz w:val="24"/>
          <w:szCs w:val="24"/>
          <w:lang w:val="en-US"/>
        </w:rPr>
        <w:t xml:space="preserve">: </w:t>
      </w:r>
      <w:r w:rsidRPr="001C12BE">
        <w:rPr>
          <w:rFonts w:eastAsia="Calibri"/>
          <w:sz w:val="24"/>
          <w:szCs w:val="24"/>
          <w:lang w:val="id-ID"/>
        </w:rPr>
        <w:t xml:space="preserve">1 Distribusi frekuensi </w:t>
      </w:r>
      <w:r w:rsidRPr="001C12BE">
        <w:rPr>
          <w:rFonts w:eastAsia="Calibri"/>
          <w:sz w:val="24"/>
          <w:szCs w:val="24"/>
          <w:lang w:val="en-US"/>
        </w:rPr>
        <w:t>responden berdasarkan usia pada calon pengantin wanita. di wilayah KUA Kaliwates</w:t>
      </w:r>
    </w:p>
    <w:tbl>
      <w:tblPr>
        <w:tblW w:w="442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77"/>
        <w:gridCol w:w="1650"/>
        <w:gridCol w:w="1310"/>
        <w:gridCol w:w="983"/>
      </w:tblGrid>
      <w:tr w:rsidR="001C12BE" w:rsidRPr="001C12BE" w:rsidTr="00B768BE">
        <w:trPr>
          <w:trHeight w:val="256"/>
        </w:trPr>
        <w:tc>
          <w:tcPr>
            <w:tcW w:w="477" w:type="dxa"/>
          </w:tcPr>
          <w:p w:rsidR="001C12BE" w:rsidRPr="001C12BE" w:rsidRDefault="001C12BE" w:rsidP="001C12BE">
            <w:pPr>
              <w:widowControl/>
              <w:autoSpaceDE/>
              <w:autoSpaceDN/>
              <w:jc w:val="both"/>
              <w:rPr>
                <w:rFonts w:eastAsia="Calibri"/>
                <w:b/>
                <w:sz w:val="20"/>
                <w:szCs w:val="20"/>
                <w:lang w:val="en-ID"/>
              </w:rPr>
            </w:pPr>
            <w:r w:rsidRPr="001C12BE">
              <w:rPr>
                <w:rFonts w:eastAsia="Calibri"/>
                <w:b/>
                <w:sz w:val="20"/>
                <w:szCs w:val="20"/>
                <w:lang w:val="en-ID"/>
              </w:rPr>
              <w:t xml:space="preserve">No </w:t>
            </w:r>
          </w:p>
        </w:tc>
        <w:tc>
          <w:tcPr>
            <w:tcW w:w="1650" w:type="dxa"/>
          </w:tcPr>
          <w:p w:rsidR="001C12BE" w:rsidRPr="001C12BE" w:rsidRDefault="001C12BE" w:rsidP="001C12BE">
            <w:pPr>
              <w:widowControl/>
              <w:autoSpaceDE/>
              <w:autoSpaceDN/>
              <w:jc w:val="center"/>
              <w:rPr>
                <w:rFonts w:eastAsia="Calibri"/>
                <w:b/>
                <w:sz w:val="20"/>
                <w:szCs w:val="20"/>
                <w:lang w:val="en-ID"/>
              </w:rPr>
            </w:pPr>
            <w:r w:rsidRPr="001C12BE">
              <w:rPr>
                <w:rFonts w:eastAsia="Calibri"/>
                <w:b/>
                <w:sz w:val="20"/>
                <w:szCs w:val="20"/>
                <w:lang w:val="en-ID"/>
              </w:rPr>
              <w:t xml:space="preserve">Usia </w:t>
            </w:r>
          </w:p>
          <w:p w:rsidR="001C12BE" w:rsidRPr="001C12BE" w:rsidRDefault="001C12BE" w:rsidP="001C12BE">
            <w:pPr>
              <w:widowControl/>
              <w:autoSpaceDE/>
              <w:autoSpaceDN/>
              <w:jc w:val="center"/>
              <w:rPr>
                <w:rFonts w:eastAsia="Calibri"/>
                <w:b/>
                <w:sz w:val="20"/>
                <w:szCs w:val="20"/>
                <w:lang w:val="en-ID"/>
              </w:rPr>
            </w:pPr>
            <w:r w:rsidRPr="001C12BE">
              <w:rPr>
                <w:rFonts w:eastAsia="Calibri"/>
                <w:b/>
                <w:sz w:val="20"/>
                <w:szCs w:val="20"/>
                <w:lang w:val="en-ID"/>
              </w:rPr>
              <w:t>(Tahun)</w:t>
            </w:r>
          </w:p>
        </w:tc>
        <w:tc>
          <w:tcPr>
            <w:tcW w:w="1310" w:type="dxa"/>
          </w:tcPr>
          <w:p w:rsidR="001C12BE" w:rsidRPr="001C12BE" w:rsidRDefault="001C12BE" w:rsidP="001C12BE">
            <w:pPr>
              <w:widowControl/>
              <w:autoSpaceDE/>
              <w:autoSpaceDN/>
              <w:jc w:val="center"/>
              <w:rPr>
                <w:rFonts w:eastAsia="Calibri"/>
                <w:b/>
                <w:sz w:val="20"/>
                <w:szCs w:val="20"/>
                <w:lang w:val="en-ID"/>
              </w:rPr>
            </w:pPr>
            <w:r w:rsidRPr="001C12BE">
              <w:rPr>
                <w:rFonts w:eastAsia="Calibri"/>
                <w:b/>
                <w:sz w:val="20"/>
                <w:szCs w:val="20"/>
                <w:lang w:val="en-ID"/>
              </w:rPr>
              <w:t>Frekuensi</w:t>
            </w:r>
          </w:p>
          <w:p w:rsidR="001C12BE" w:rsidRPr="001C12BE" w:rsidRDefault="001C12BE" w:rsidP="001C12BE">
            <w:pPr>
              <w:widowControl/>
              <w:autoSpaceDE/>
              <w:autoSpaceDN/>
              <w:jc w:val="center"/>
              <w:rPr>
                <w:rFonts w:eastAsia="Calibri"/>
                <w:b/>
                <w:sz w:val="20"/>
                <w:szCs w:val="20"/>
                <w:lang w:val="en-ID"/>
              </w:rPr>
            </w:pPr>
            <w:r w:rsidRPr="001C12BE">
              <w:rPr>
                <w:rFonts w:eastAsia="Calibri"/>
                <w:b/>
                <w:sz w:val="20"/>
                <w:szCs w:val="20"/>
                <w:lang w:val="en-ID"/>
              </w:rPr>
              <w:t>(f)</w:t>
            </w:r>
          </w:p>
        </w:tc>
        <w:tc>
          <w:tcPr>
            <w:tcW w:w="983" w:type="dxa"/>
          </w:tcPr>
          <w:p w:rsidR="001C12BE" w:rsidRPr="001C12BE" w:rsidRDefault="001C12BE" w:rsidP="001C12BE">
            <w:pPr>
              <w:widowControl/>
              <w:autoSpaceDE/>
              <w:autoSpaceDN/>
              <w:jc w:val="center"/>
              <w:rPr>
                <w:rFonts w:eastAsia="Calibri"/>
                <w:b/>
                <w:sz w:val="20"/>
                <w:szCs w:val="20"/>
                <w:lang w:val="en-ID"/>
              </w:rPr>
            </w:pPr>
            <w:r w:rsidRPr="001C12BE">
              <w:rPr>
                <w:rFonts w:eastAsia="Calibri"/>
                <w:b/>
                <w:sz w:val="20"/>
                <w:szCs w:val="20"/>
                <w:lang w:val="en-ID"/>
              </w:rPr>
              <w:t>Persentasi (%)</w:t>
            </w:r>
          </w:p>
        </w:tc>
      </w:tr>
      <w:tr w:rsidR="001C12BE" w:rsidRPr="001C12BE" w:rsidTr="00B768BE">
        <w:trPr>
          <w:trHeight w:val="562"/>
        </w:trPr>
        <w:tc>
          <w:tcPr>
            <w:tcW w:w="477" w:type="dxa"/>
          </w:tcPr>
          <w:p w:rsidR="001C12BE" w:rsidRPr="001C12BE" w:rsidRDefault="001C12BE" w:rsidP="001C12BE">
            <w:pPr>
              <w:widowControl/>
              <w:autoSpaceDE/>
              <w:autoSpaceDN/>
              <w:jc w:val="both"/>
              <w:rPr>
                <w:rFonts w:eastAsia="Calibri"/>
                <w:sz w:val="20"/>
                <w:szCs w:val="20"/>
                <w:lang w:val="en-ID"/>
              </w:rPr>
            </w:pPr>
            <w:r w:rsidRPr="001C12BE">
              <w:rPr>
                <w:rFonts w:eastAsia="Calibri"/>
                <w:sz w:val="20"/>
                <w:szCs w:val="20"/>
                <w:lang w:val="en-ID"/>
              </w:rPr>
              <w:t>1.</w:t>
            </w:r>
          </w:p>
          <w:p w:rsidR="001C12BE" w:rsidRPr="001C12BE" w:rsidRDefault="001C12BE" w:rsidP="001C12BE">
            <w:pPr>
              <w:widowControl/>
              <w:autoSpaceDE/>
              <w:autoSpaceDN/>
              <w:jc w:val="both"/>
              <w:rPr>
                <w:rFonts w:eastAsia="Calibri"/>
                <w:sz w:val="20"/>
                <w:szCs w:val="20"/>
                <w:lang w:val="en-ID"/>
              </w:rPr>
            </w:pPr>
          </w:p>
        </w:tc>
        <w:tc>
          <w:tcPr>
            <w:tcW w:w="1650" w:type="dxa"/>
          </w:tcPr>
          <w:p w:rsidR="001C12BE" w:rsidRPr="001C12BE" w:rsidRDefault="001C12BE" w:rsidP="001C12BE">
            <w:pPr>
              <w:widowControl/>
              <w:autoSpaceDE/>
              <w:autoSpaceDN/>
              <w:jc w:val="both"/>
              <w:rPr>
                <w:rFonts w:eastAsia="Calibri"/>
                <w:sz w:val="20"/>
                <w:szCs w:val="20"/>
                <w:lang w:val="en-ID"/>
              </w:rPr>
            </w:pPr>
            <w:r w:rsidRPr="001C12BE">
              <w:rPr>
                <w:rFonts w:eastAsia="Calibri"/>
                <w:sz w:val="20"/>
                <w:szCs w:val="20"/>
                <w:lang w:val="en-ID"/>
              </w:rPr>
              <w:t xml:space="preserve">Usia reproduktif </w:t>
            </w:r>
          </w:p>
        </w:tc>
        <w:tc>
          <w:tcPr>
            <w:tcW w:w="1310" w:type="dxa"/>
          </w:tcPr>
          <w:p w:rsidR="001C12BE" w:rsidRPr="001C12BE" w:rsidRDefault="001C12BE" w:rsidP="001C12BE">
            <w:pPr>
              <w:widowControl/>
              <w:autoSpaceDE/>
              <w:autoSpaceDN/>
              <w:jc w:val="center"/>
              <w:rPr>
                <w:rFonts w:eastAsia="Calibri"/>
                <w:sz w:val="20"/>
                <w:szCs w:val="20"/>
                <w:lang w:val="en-ID"/>
              </w:rPr>
            </w:pPr>
            <w:r w:rsidRPr="001C12BE">
              <w:rPr>
                <w:rFonts w:eastAsia="Calibri"/>
                <w:sz w:val="20"/>
                <w:szCs w:val="20"/>
                <w:lang w:val="en-ID"/>
              </w:rPr>
              <w:t>47</w:t>
            </w:r>
          </w:p>
          <w:p w:rsidR="001C12BE" w:rsidRPr="001C12BE" w:rsidRDefault="001C12BE" w:rsidP="001C12BE">
            <w:pPr>
              <w:widowControl/>
              <w:autoSpaceDE/>
              <w:autoSpaceDN/>
              <w:jc w:val="center"/>
              <w:rPr>
                <w:rFonts w:eastAsia="Calibri"/>
                <w:sz w:val="20"/>
                <w:szCs w:val="20"/>
                <w:lang w:val="en-ID"/>
              </w:rPr>
            </w:pPr>
          </w:p>
        </w:tc>
        <w:tc>
          <w:tcPr>
            <w:tcW w:w="983" w:type="dxa"/>
          </w:tcPr>
          <w:p w:rsidR="001C12BE" w:rsidRPr="001C12BE" w:rsidRDefault="001C12BE" w:rsidP="001C12BE">
            <w:pPr>
              <w:widowControl/>
              <w:autoSpaceDE/>
              <w:autoSpaceDN/>
              <w:jc w:val="center"/>
              <w:rPr>
                <w:rFonts w:eastAsia="Calibri"/>
                <w:sz w:val="20"/>
                <w:szCs w:val="20"/>
                <w:lang w:val="en-ID"/>
              </w:rPr>
            </w:pPr>
            <w:r w:rsidRPr="001C12BE">
              <w:rPr>
                <w:rFonts w:eastAsia="Calibri"/>
                <w:sz w:val="20"/>
                <w:szCs w:val="20"/>
                <w:lang w:val="en-ID"/>
              </w:rPr>
              <w:t>100</w:t>
            </w:r>
          </w:p>
          <w:p w:rsidR="001C12BE" w:rsidRPr="001C12BE" w:rsidRDefault="001C12BE" w:rsidP="001C12BE">
            <w:pPr>
              <w:widowControl/>
              <w:autoSpaceDE/>
              <w:autoSpaceDN/>
              <w:jc w:val="center"/>
              <w:rPr>
                <w:rFonts w:eastAsia="Calibri"/>
                <w:sz w:val="20"/>
                <w:szCs w:val="20"/>
                <w:lang w:val="en-ID"/>
              </w:rPr>
            </w:pPr>
          </w:p>
        </w:tc>
      </w:tr>
      <w:tr w:rsidR="001C12BE" w:rsidRPr="001C12BE" w:rsidTr="00B768BE">
        <w:trPr>
          <w:trHeight w:val="195"/>
        </w:trPr>
        <w:tc>
          <w:tcPr>
            <w:tcW w:w="477" w:type="dxa"/>
          </w:tcPr>
          <w:p w:rsidR="001C12BE" w:rsidRPr="001C12BE" w:rsidRDefault="001C12BE" w:rsidP="001C12BE">
            <w:pPr>
              <w:widowControl/>
              <w:autoSpaceDE/>
              <w:autoSpaceDN/>
              <w:jc w:val="both"/>
              <w:rPr>
                <w:rFonts w:eastAsia="Calibri"/>
                <w:b/>
                <w:sz w:val="20"/>
                <w:szCs w:val="20"/>
                <w:lang w:val="en-ID"/>
              </w:rPr>
            </w:pPr>
          </w:p>
        </w:tc>
        <w:tc>
          <w:tcPr>
            <w:tcW w:w="1650" w:type="dxa"/>
          </w:tcPr>
          <w:p w:rsidR="001C12BE" w:rsidRPr="001C12BE" w:rsidRDefault="001C12BE" w:rsidP="001C12BE">
            <w:pPr>
              <w:widowControl/>
              <w:autoSpaceDE/>
              <w:autoSpaceDN/>
              <w:jc w:val="both"/>
              <w:rPr>
                <w:rFonts w:eastAsia="Calibri"/>
                <w:b/>
                <w:sz w:val="20"/>
                <w:szCs w:val="20"/>
                <w:lang w:val="en-ID"/>
              </w:rPr>
            </w:pPr>
            <w:r w:rsidRPr="001C12BE">
              <w:rPr>
                <w:rFonts w:eastAsia="Calibri"/>
                <w:b/>
                <w:sz w:val="20"/>
                <w:szCs w:val="20"/>
                <w:lang w:val="en-ID"/>
              </w:rPr>
              <w:t xml:space="preserve">Total </w:t>
            </w:r>
          </w:p>
        </w:tc>
        <w:tc>
          <w:tcPr>
            <w:tcW w:w="1310" w:type="dxa"/>
          </w:tcPr>
          <w:p w:rsidR="001C12BE" w:rsidRPr="001C12BE" w:rsidRDefault="001C12BE" w:rsidP="001C12BE">
            <w:pPr>
              <w:widowControl/>
              <w:autoSpaceDE/>
              <w:autoSpaceDN/>
              <w:jc w:val="center"/>
              <w:rPr>
                <w:rFonts w:eastAsia="Calibri"/>
                <w:b/>
                <w:sz w:val="20"/>
                <w:szCs w:val="20"/>
                <w:lang w:val="en-ID"/>
              </w:rPr>
            </w:pPr>
            <w:r w:rsidRPr="001C12BE">
              <w:rPr>
                <w:rFonts w:eastAsia="Calibri"/>
                <w:b/>
                <w:sz w:val="20"/>
                <w:szCs w:val="20"/>
                <w:lang w:val="en-ID"/>
              </w:rPr>
              <w:t>47</w:t>
            </w:r>
          </w:p>
        </w:tc>
        <w:tc>
          <w:tcPr>
            <w:tcW w:w="983" w:type="dxa"/>
          </w:tcPr>
          <w:p w:rsidR="001C12BE" w:rsidRPr="001C12BE" w:rsidRDefault="001C12BE" w:rsidP="001C12BE">
            <w:pPr>
              <w:widowControl/>
              <w:autoSpaceDE/>
              <w:autoSpaceDN/>
              <w:jc w:val="center"/>
              <w:rPr>
                <w:rFonts w:eastAsia="Calibri"/>
                <w:b/>
                <w:sz w:val="20"/>
                <w:szCs w:val="20"/>
                <w:lang w:val="en-ID"/>
              </w:rPr>
            </w:pPr>
            <w:r w:rsidRPr="001C12BE">
              <w:rPr>
                <w:rFonts w:eastAsia="Calibri"/>
                <w:b/>
                <w:sz w:val="20"/>
                <w:szCs w:val="20"/>
                <w:lang w:val="en-ID"/>
              </w:rPr>
              <w:t>100</w:t>
            </w:r>
          </w:p>
          <w:p w:rsidR="001C12BE" w:rsidRPr="001C12BE" w:rsidRDefault="001C12BE" w:rsidP="001C12BE">
            <w:pPr>
              <w:widowControl/>
              <w:autoSpaceDE/>
              <w:autoSpaceDN/>
              <w:jc w:val="center"/>
              <w:rPr>
                <w:rFonts w:eastAsia="Calibri"/>
                <w:b/>
                <w:sz w:val="20"/>
                <w:szCs w:val="20"/>
                <w:lang w:val="en-ID"/>
              </w:rPr>
            </w:pPr>
          </w:p>
        </w:tc>
      </w:tr>
    </w:tbl>
    <w:p w:rsidR="001C12BE" w:rsidRPr="001C12BE" w:rsidRDefault="001C12BE" w:rsidP="001C12BE">
      <w:pPr>
        <w:widowControl/>
        <w:autoSpaceDE/>
        <w:autoSpaceDN/>
        <w:ind w:left="709" w:hanging="709"/>
        <w:jc w:val="both"/>
        <w:rPr>
          <w:rFonts w:eastAsia="Calibri"/>
          <w:lang w:val="en-US"/>
        </w:rPr>
      </w:pPr>
      <w:r w:rsidRPr="001C12BE">
        <w:rPr>
          <w:rFonts w:eastAsia="Calibri"/>
          <w:lang w:val="en-US"/>
        </w:rPr>
        <w:t>Data Primer</w:t>
      </w:r>
    </w:p>
    <w:p w:rsidR="001C12BE" w:rsidRPr="001C12BE" w:rsidRDefault="001C12BE" w:rsidP="001C12BE">
      <w:pPr>
        <w:widowControl/>
        <w:autoSpaceDE/>
        <w:autoSpaceDN/>
        <w:ind w:left="709" w:hanging="709"/>
        <w:jc w:val="both"/>
        <w:rPr>
          <w:rFonts w:eastAsia="Calibri"/>
          <w:lang w:val="en-US"/>
        </w:rPr>
      </w:pPr>
    </w:p>
    <w:p w:rsidR="001C12BE" w:rsidRPr="001C12BE" w:rsidRDefault="001C12BE" w:rsidP="00972965">
      <w:pPr>
        <w:widowControl/>
        <w:autoSpaceDE/>
        <w:autoSpaceDN/>
        <w:spacing w:line="360" w:lineRule="auto"/>
        <w:ind w:left="567" w:hanging="567"/>
        <w:jc w:val="both"/>
        <w:rPr>
          <w:rFonts w:eastAsia="Calibri"/>
          <w:sz w:val="24"/>
          <w:szCs w:val="24"/>
          <w:lang w:val="id-ID"/>
        </w:rPr>
      </w:pPr>
      <w:r w:rsidRPr="001C12BE">
        <w:rPr>
          <w:rFonts w:eastAsia="Calibri"/>
          <w:sz w:val="24"/>
          <w:szCs w:val="24"/>
          <w:lang w:val="id-ID"/>
        </w:rPr>
        <w:t>Tabel</w:t>
      </w:r>
      <w:r w:rsidRPr="001C12BE">
        <w:rPr>
          <w:rFonts w:eastAsia="Calibri"/>
          <w:sz w:val="24"/>
          <w:szCs w:val="24"/>
          <w:lang w:val="en-US"/>
        </w:rPr>
        <w:t xml:space="preserve">: </w:t>
      </w:r>
      <w:r w:rsidRPr="001C12BE">
        <w:rPr>
          <w:rFonts w:eastAsia="Calibri"/>
          <w:sz w:val="24"/>
          <w:szCs w:val="24"/>
          <w:lang w:val="id-ID"/>
        </w:rPr>
        <w:t xml:space="preserve">2 Distribusi frekuensi </w:t>
      </w:r>
      <w:r w:rsidRPr="001C12BE">
        <w:rPr>
          <w:rFonts w:eastAsia="Calibri"/>
          <w:sz w:val="24"/>
          <w:szCs w:val="24"/>
          <w:lang w:val="en-US"/>
        </w:rPr>
        <w:t>responden berdasarkan status pendidikan di wilayah KUA Kaliwates</w:t>
      </w:r>
    </w:p>
    <w:tbl>
      <w:tblPr>
        <w:tblStyle w:val="TableGrid"/>
        <w:tblW w:w="467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475"/>
        <w:gridCol w:w="1417"/>
        <w:gridCol w:w="1276"/>
      </w:tblGrid>
      <w:tr w:rsidR="001C12BE" w:rsidRPr="001C12BE" w:rsidTr="00B768BE">
        <w:trPr>
          <w:trHeight w:val="256"/>
          <w:jc w:val="center"/>
        </w:trPr>
        <w:tc>
          <w:tcPr>
            <w:tcW w:w="510" w:type="dxa"/>
            <w:tcBorders>
              <w:top w:val="single" w:sz="4" w:space="0" w:color="auto"/>
              <w:bottom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b/>
                <w:sz w:val="20"/>
                <w:szCs w:val="20"/>
                <w:lang w:val="en-ID"/>
              </w:rPr>
              <w:t>No</w:t>
            </w:r>
          </w:p>
        </w:tc>
        <w:tc>
          <w:tcPr>
            <w:tcW w:w="1475" w:type="dxa"/>
            <w:tcBorders>
              <w:top w:val="single" w:sz="4" w:space="0" w:color="auto"/>
              <w:bottom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b/>
                <w:sz w:val="20"/>
                <w:szCs w:val="20"/>
                <w:lang w:val="en-ID"/>
              </w:rPr>
              <w:t>Pendidikan</w:t>
            </w:r>
          </w:p>
        </w:tc>
        <w:tc>
          <w:tcPr>
            <w:tcW w:w="1417" w:type="dxa"/>
            <w:tcBorders>
              <w:top w:val="single" w:sz="4" w:space="0" w:color="auto"/>
              <w:bottom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b/>
                <w:sz w:val="20"/>
                <w:szCs w:val="20"/>
                <w:lang w:val="en-ID"/>
              </w:rPr>
              <w:t>Frekuensi (f)</w:t>
            </w:r>
          </w:p>
        </w:tc>
        <w:tc>
          <w:tcPr>
            <w:tcW w:w="1276" w:type="dxa"/>
            <w:tcBorders>
              <w:top w:val="single" w:sz="4" w:space="0" w:color="auto"/>
              <w:bottom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b/>
                <w:sz w:val="20"/>
                <w:szCs w:val="20"/>
                <w:lang w:val="en-ID"/>
              </w:rPr>
              <w:t>Persentasi (%)</w:t>
            </w:r>
          </w:p>
        </w:tc>
      </w:tr>
      <w:tr w:rsidR="001C12BE" w:rsidRPr="001C12BE" w:rsidTr="00B768BE">
        <w:trPr>
          <w:trHeight w:val="256"/>
          <w:jc w:val="center"/>
        </w:trPr>
        <w:tc>
          <w:tcPr>
            <w:tcW w:w="510" w:type="dxa"/>
            <w:tcBorders>
              <w:top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b/>
                <w:sz w:val="20"/>
                <w:szCs w:val="20"/>
                <w:lang w:val="en-ID"/>
              </w:rPr>
              <w:t>1</w:t>
            </w:r>
          </w:p>
        </w:tc>
        <w:tc>
          <w:tcPr>
            <w:tcW w:w="1475" w:type="dxa"/>
            <w:tcBorders>
              <w:top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SD</w:t>
            </w:r>
          </w:p>
        </w:tc>
        <w:tc>
          <w:tcPr>
            <w:tcW w:w="1417" w:type="dxa"/>
            <w:tcBorders>
              <w:top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1</w:t>
            </w:r>
          </w:p>
        </w:tc>
        <w:tc>
          <w:tcPr>
            <w:tcW w:w="1276" w:type="dxa"/>
            <w:tcBorders>
              <w:top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 xml:space="preserve">2.04 </w:t>
            </w:r>
          </w:p>
        </w:tc>
      </w:tr>
      <w:tr w:rsidR="001C12BE" w:rsidRPr="001C12BE" w:rsidTr="00B768BE">
        <w:trPr>
          <w:trHeight w:val="256"/>
          <w:jc w:val="center"/>
        </w:trPr>
        <w:tc>
          <w:tcPr>
            <w:tcW w:w="510" w:type="dxa"/>
            <w:vAlign w:val="center"/>
          </w:tcPr>
          <w:p w:rsidR="001C12BE" w:rsidRPr="001C12BE" w:rsidRDefault="001C12BE" w:rsidP="001C12BE">
            <w:pPr>
              <w:jc w:val="center"/>
              <w:rPr>
                <w:rFonts w:eastAsia="Calibri"/>
                <w:b/>
                <w:sz w:val="20"/>
                <w:szCs w:val="20"/>
                <w:lang w:val="en-ID"/>
              </w:rPr>
            </w:pPr>
            <w:r w:rsidRPr="001C12BE">
              <w:rPr>
                <w:rFonts w:eastAsia="Calibri"/>
                <w:b/>
                <w:sz w:val="20"/>
                <w:szCs w:val="20"/>
                <w:lang w:val="en-ID"/>
              </w:rPr>
              <w:t>2</w:t>
            </w:r>
          </w:p>
        </w:tc>
        <w:tc>
          <w:tcPr>
            <w:tcW w:w="1475" w:type="dxa"/>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SMP</w:t>
            </w:r>
          </w:p>
        </w:tc>
        <w:tc>
          <w:tcPr>
            <w:tcW w:w="1417" w:type="dxa"/>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5</w:t>
            </w:r>
          </w:p>
        </w:tc>
        <w:tc>
          <w:tcPr>
            <w:tcW w:w="1276" w:type="dxa"/>
            <w:vAlign w:val="center"/>
          </w:tcPr>
          <w:p w:rsidR="001C12BE" w:rsidRPr="001C12BE" w:rsidRDefault="001C12BE" w:rsidP="001C12BE">
            <w:pPr>
              <w:jc w:val="center"/>
              <w:rPr>
                <w:rFonts w:eastAsia="Calibri"/>
                <w:sz w:val="20"/>
                <w:szCs w:val="20"/>
                <w:lang w:val="en-ID"/>
              </w:rPr>
            </w:pPr>
            <w:r w:rsidRPr="001C12BE">
              <w:rPr>
                <w:rFonts w:eastAsia="Calibri"/>
                <w:sz w:val="20"/>
                <w:szCs w:val="20"/>
                <w:lang w:val="en-ID"/>
              </w:rPr>
              <w:t xml:space="preserve">10.20 </w:t>
            </w:r>
          </w:p>
        </w:tc>
      </w:tr>
      <w:tr w:rsidR="001C12BE" w:rsidRPr="001C12BE" w:rsidTr="00B768BE">
        <w:trPr>
          <w:trHeight w:val="256"/>
          <w:jc w:val="center"/>
        </w:trPr>
        <w:tc>
          <w:tcPr>
            <w:tcW w:w="510" w:type="dxa"/>
            <w:vAlign w:val="center"/>
          </w:tcPr>
          <w:p w:rsidR="001C12BE" w:rsidRPr="001C12BE" w:rsidRDefault="001C12BE" w:rsidP="001C12BE">
            <w:pPr>
              <w:jc w:val="center"/>
              <w:rPr>
                <w:rFonts w:eastAsia="Calibri"/>
                <w:b/>
                <w:sz w:val="20"/>
                <w:szCs w:val="20"/>
                <w:lang w:val="en-ID"/>
              </w:rPr>
            </w:pPr>
            <w:r w:rsidRPr="001C12BE">
              <w:rPr>
                <w:rFonts w:eastAsia="Calibri"/>
                <w:b/>
                <w:sz w:val="20"/>
                <w:szCs w:val="20"/>
                <w:lang w:val="en-ID"/>
              </w:rPr>
              <w:lastRenderedPageBreak/>
              <w:t>3</w:t>
            </w:r>
          </w:p>
        </w:tc>
        <w:tc>
          <w:tcPr>
            <w:tcW w:w="1475" w:type="dxa"/>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SMA</w:t>
            </w:r>
          </w:p>
        </w:tc>
        <w:tc>
          <w:tcPr>
            <w:tcW w:w="1417" w:type="dxa"/>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20</w:t>
            </w:r>
          </w:p>
        </w:tc>
        <w:tc>
          <w:tcPr>
            <w:tcW w:w="1276" w:type="dxa"/>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 xml:space="preserve">40.82 </w:t>
            </w:r>
          </w:p>
        </w:tc>
      </w:tr>
      <w:tr w:rsidR="001C12BE" w:rsidRPr="001C12BE" w:rsidTr="00B768BE">
        <w:trPr>
          <w:trHeight w:val="256"/>
          <w:jc w:val="center"/>
        </w:trPr>
        <w:tc>
          <w:tcPr>
            <w:tcW w:w="510" w:type="dxa"/>
            <w:vAlign w:val="center"/>
          </w:tcPr>
          <w:p w:rsidR="001C12BE" w:rsidRPr="001C12BE" w:rsidRDefault="001C12BE" w:rsidP="001C12BE">
            <w:pPr>
              <w:jc w:val="center"/>
              <w:rPr>
                <w:rFonts w:eastAsia="Calibri"/>
                <w:b/>
                <w:sz w:val="20"/>
                <w:szCs w:val="20"/>
                <w:lang w:val="en-ID"/>
              </w:rPr>
            </w:pPr>
            <w:r w:rsidRPr="001C12BE">
              <w:rPr>
                <w:rFonts w:eastAsia="Calibri"/>
                <w:b/>
                <w:sz w:val="20"/>
                <w:szCs w:val="20"/>
                <w:lang w:val="en-ID"/>
              </w:rPr>
              <w:t>4</w:t>
            </w:r>
          </w:p>
        </w:tc>
        <w:tc>
          <w:tcPr>
            <w:tcW w:w="1475" w:type="dxa"/>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D3</w:t>
            </w:r>
          </w:p>
        </w:tc>
        <w:tc>
          <w:tcPr>
            <w:tcW w:w="1417" w:type="dxa"/>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5</w:t>
            </w:r>
          </w:p>
        </w:tc>
        <w:tc>
          <w:tcPr>
            <w:tcW w:w="1276" w:type="dxa"/>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 xml:space="preserve">10.20 </w:t>
            </w:r>
          </w:p>
        </w:tc>
      </w:tr>
      <w:tr w:rsidR="001C12BE" w:rsidRPr="001C12BE" w:rsidTr="00B768BE">
        <w:trPr>
          <w:trHeight w:val="256"/>
          <w:jc w:val="center"/>
        </w:trPr>
        <w:tc>
          <w:tcPr>
            <w:tcW w:w="510" w:type="dxa"/>
            <w:vAlign w:val="center"/>
          </w:tcPr>
          <w:p w:rsidR="001C12BE" w:rsidRPr="001C12BE" w:rsidRDefault="001C12BE" w:rsidP="001C12BE">
            <w:pPr>
              <w:jc w:val="center"/>
              <w:rPr>
                <w:rFonts w:eastAsia="Calibri"/>
                <w:b/>
                <w:sz w:val="20"/>
                <w:szCs w:val="20"/>
                <w:lang w:val="en-ID"/>
              </w:rPr>
            </w:pPr>
            <w:r w:rsidRPr="001C12BE">
              <w:rPr>
                <w:rFonts w:eastAsia="Calibri"/>
                <w:b/>
                <w:sz w:val="20"/>
                <w:szCs w:val="20"/>
                <w:lang w:val="en-ID"/>
              </w:rPr>
              <w:t>5</w:t>
            </w:r>
          </w:p>
        </w:tc>
        <w:tc>
          <w:tcPr>
            <w:tcW w:w="1475" w:type="dxa"/>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S1</w:t>
            </w:r>
          </w:p>
        </w:tc>
        <w:tc>
          <w:tcPr>
            <w:tcW w:w="1417" w:type="dxa"/>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17</w:t>
            </w:r>
          </w:p>
        </w:tc>
        <w:tc>
          <w:tcPr>
            <w:tcW w:w="1276" w:type="dxa"/>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 xml:space="preserve">34.69 </w:t>
            </w:r>
          </w:p>
        </w:tc>
      </w:tr>
      <w:tr w:rsidR="001C12BE" w:rsidRPr="001C12BE" w:rsidTr="00B768BE">
        <w:trPr>
          <w:trHeight w:val="256"/>
          <w:jc w:val="center"/>
        </w:trPr>
        <w:tc>
          <w:tcPr>
            <w:tcW w:w="510" w:type="dxa"/>
            <w:tcBorders>
              <w:bottom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b/>
                <w:sz w:val="20"/>
                <w:szCs w:val="20"/>
                <w:lang w:val="en-ID"/>
              </w:rPr>
              <w:t>6</w:t>
            </w:r>
          </w:p>
        </w:tc>
        <w:tc>
          <w:tcPr>
            <w:tcW w:w="1475" w:type="dxa"/>
            <w:tcBorders>
              <w:bottom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S2</w:t>
            </w:r>
          </w:p>
        </w:tc>
        <w:tc>
          <w:tcPr>
            <w:tcW w:w="1417" w:type="dxa"/>
            <w:tcBorders>
              <w:bottom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1</w:t>
            </w:r>
          </w:p>
        </w:tc>
        <w:tc>
          <w:tcPr>
            <w:tcW w:w="1276" w:type="dxa"/>
            <w:tcBorders>
              <w:bottom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sz w:val="20"/>
                <w:szCs w:val="20"/>
                <w:lang w:val="en-ID"/>
              </w:rPr>
              <w:t xml:space="preserve">2.04 </w:t>
            </w:r>
          </w:p>
        </w:tc>
      </w:tr>
      <w:tr w:rsidR="001C12BE" w:rsidRPr="001C12BE" w:rsidTr="00B768BE">
        <w:trPr>
          <w:trHeight w:val="256"/>
          <w:jc w:val="center"/>
        </w:trPr>
        <w:tc>
          <w:tcPr>
            <w:tcW w:w="510" w:type="dxa"/>
            <w:tcBorders>
              <w:top w:val="single" w:sz="4" w:space="0" w:color="auto"/>
              <w:bottom w:val="single" w:sz="4" w:space="0" w:color="auto"/>
            </w:tcBorders>
            <w:vAlign w:val="center"/>
          </w:tcPr>
          <w:p w:rsidR="001C12BE" w:rsidRPr="001C12BE" w:rsidRDefault="001C12BE" w:rsidP="001C12BE">
            <w:pPr>
              <w:jc w:val="center"/>
              <w:rPr>
                <w:rFonts w:eastAsia="Calibri"/>
                <w:b/>
                <w:sz w:val="20"/>
                <w:szCs w:val="20"/>
                <w:lang w:val="en-ID"/>
              </w:rPr>
            </w:pPr>
          </w:p>
        </w:tc>
        <w:tc>
          <w:tcPr>
            <w:tcW w:w="1475" w:type="dxa"/>
            <w:tcBorders>
              <w:top w:val="single" w:sz="4" w:space="0" w:color="auto"/>
              <w:bottom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b/>
                <w:sz w:val="20"/>
                <w:szCs w:val="20"/>
                <w:lang w:val="en-ID"/>
              </w:rPr>
              <w:t>Total</w:t>
            </w:r>
          </w:p>
        </w:tc>
        <w:tc>
          <w:tcPr>
            <w:tcW w:w="1417" w:type="dxa"/>
            <w:tcBorders>
              <w:top w:val="single" w:sz="4" w:space="0" w:color="auto"/>
              <w:bottom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b/>
                <w:sz w:val="20"/>
                <w:szCs w:val="20"/>
                <w:lang w:val="en-ID"/>
              </w:rPr>
              <w:t>47</w:t>
            </w:r>
          </w:p>
        </w:tc>
        <w:tc>
          <w:tcPr>
            <w:tcW w:w="1276" w:type="dxa"/>
            <w:tcBorders>
              <w:top w:val="single" w:sz="4" w:space="0" w:color="auto"/>
              <w:bottom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b/>
                <w:sz w:val="20"/>
                <w:szCs w:val="20"/>
                <w:lang w:val="en-ID"/>
              </w:rPr>
              <w:t>100</w:t>
            </w:r>
          </w:p>
        </w:tc>
      </w:tr>
    </w:tbl>
    <w:p w:rsidR="001C12BE" w:rsidRPr="001C12BE" w:rsidRDefault="001C12BE" w:rsidP="001C12BE">
      <w:pPr>
        <w:widowControl/>
        <w:autoSpaceDE/>
        <w:autoSpaceDN/>
        <w:ind w:left="709" w:hanging="709"/>
        <w:jc w:val="both"/>
        <w:rPr>
          <w:rFonts w:eastAsia="Calibri"/>
          <w:lang w:val="en-US"/>
        </w:rPr>
      </w:pPr>
      <w:r w:rsidRPr="001C12BE">
        <w:rPr>
          <w:rFonts w:eastAsia="Calibri"/>
          <w:lang w:val="en-US"/>
        </w:rPr>
        <w:t>Data Primer</w:t>
      </w:r>
    </w:p>
    <w:p w:rsidR="001C12BE" w:rsidRPr="001C12BE" w:rsidRDefault="001C12BE" w:rsidP="00163249">
      <w:pPr>
        <w:widowControl/>
        <w:autoSpaceDE/>
        <w:autoSpaceDN/>
        <w:spacing w:line="360" w:lineRule="auto"/>
        <w:ind w:left="709" w:hanging="709"/>
        <w:jc w:val="both"/>
        <w:rPr>
          <w:rFonts w:eastAsia="Calibri"/>
          <w:sz w:val="24"/>
          <w:szCs w:val="24"/>
          <w:lang w:val="en-US"/>
        </w:rPr>
      </w:pPr>
    </w:p>
    <w:p w:rsidR="001C12BE" w:rsidRPr="001C12BE" w:rsidRDefault="001C12BE" w:rsidP="00163249">
      <w:pPr>
        <w:widowControl/>
        <w:autoSpaceDE/>
        <w:autoSpaceDN/>
        <w:spacing w:line="360" w:lineRule="auto"/>
        <w:ind w:left="567" w:hanging="567"/>
        <w:jc w:val="both"/>
        <w:rPr>
          <w:rFonts w:eastAsia="Calibri"/>
          <w:sz w:val="24"/>
          <w:szCs w:val="24"/>
          <w:lang w:val="id-ID"/>
        </w:rPr>
      </w:pPr>
      <w:r w:rsidRPr="001C12BE">
        <w:rPr>
          <w:rFonts w:eastAsia="Calibri"/>
          <w:sz w:val="24"/>
          <w:szCs w:val="24"/>
          <w:lang w:val="id-ID"/>
        </w:rPr>
        <w:t>Tabel</w:t>
      </w:r>
      <w:r w:rsidRPr="001C12BE">
        <w:rPr>
          <w:rFonts w:eastAsia="Calibri"/>
          <w:sz w:val="24"/>
          <w:szCs w:val="24"/>
          <w:lang w:val="en-US"/>
        </w:rPr>
        <w:t xml:space="preserve">: </w:t>
      </w:r>
      <w:r w:rsidRPr="001C12BE">
        <w:rPr>
          <w:rFonts w:eastAsia="Calibri"/>
          <w:sz w:val="24"/>
          <w:szCs w:val="24"/>
          <w:lang w:val="id-ID"/>
        </w:rPr>
        <w:t xml:space="preserve">3 Distribusi frekuensi </w:t>
      </w:r>
      <w:r w:rsidRPr="001C12BE">
        <w:rPr>
          <w:rFonts w:eastAsia="Calibri"/>
          <w:sz w:val="24"/>
          <w:szCs w:val="24"/>
          <w:lang w:val="en-US"/>
        </w:rPr>
        <w:t>responden berdasarkan status Gizi menurut perhitungan IMT(Indeks Masa Tubuh) di wilayah KUA Kaliwates</w:t>
      </w:r>
    </w:p>
    <w:tbl>
      <w:tblPr>
        <w:tblStyle w:val="TableGrid"/>
        <w:tblW w:w="434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229"/>
        <w:gridCol w:w="1276"/>
        <w:gridCol w:w="1276"/>
      </w:tblGrid>
      <w:tr w:rsidR="001C12BE" w:rsidRPr="001C12BE" w:rsidTr="00B768BE">
        <w:trPr>
          <w:trHeight w:val="256"/>
          <w:jc w:val="center"/>
        </w:trPr>
        <w:tc>
          <w:tcPr>
            <w:tcW w:w="567" w:type="dxa"/>
            <w:tcBorders>
              <w:top w:val="single" w:sz="4" w:space="0" w:color="auto"/>
              <w:bottom w:val="single" w:sz="4" w:space="0" w:color="auto"/>
            </w:tcBorders>
            <w:vAlign w:val="center"/>
          </w:tcPr>
          <w:p w:rsidR="001C12BE" w:rsidRPr="001C12BE" w:rsidRDefault="001C12BE" w:rsidP="001C12BE">
            <w:pPr>
              <w:ind w:left="709" w:hanging="709"/>
              <w:jc w:val="center"/>
              <w:rPr>
                <w:rFonts w:eastAsia="Calibri"/>
                <w:b/>
                <w:sz w:val="20"/>
                <w:szCs w:val="20"/>
                <w:lang w:val="en-ID"/>
              </w:rPr>
            </w:pPr>
            <w:r w:rsidRPr="001C12BE">
              <w:rPr>
                <w:rFonts w:eastAsia="Calibri"/>
                <w:b/>
                <w:sz w:val="20"/>
                <w:szCs w:val="20"/>
                <w:lang w:val="en-ID"/>
              </w:rPr>
              <w:t>No</w:t>
            </w:r>
          </w:p>
        </w:tc>
        <w:tc>
          <w:tcPr>
            <w:tcW w:w="1229" w:type="dxa"/>
            <w:tcBorders>
              <w:top w:val="single" w:sz="4" w:space="0" w:color="auto"/>
              <w:bottom w:val="single" w:sz="4" w:space="0" w:color="auto"/>
            </w:tcBorders>
            <w:vAlign w:val="center"/>
          </w:tcPr>
          <w:p w:rsidR="001C12BE" w:rsidRPr="001C12BE" w:rsidRDefault="001C12BE" w:rsidP="001C12BE">
            <w:pPr>
              <w:jc w:val="center"/>
              <w:rPr>
                <w:rFonts w:eastAsia="Calibri"/>
                <w:b/>
                <w:sz w:val="20"/>
                <w:szCs w:val="20"/>
                <w:lang w:val="en-ID"/>
              </w:rPr>
            </w:pPr>
            <w:r w:rsidRPr="001C12BE">
              <w:rPr>
                <w:rFonts w:eastAsia="Calibri"/>
                <w:b/>
                <w:sz w:val="20"/>
                <w:szCs w:val="20"/>
                <w:lang w:val="en-ID"/>
              </w:rPr>
              <w:t>Status gizi</w:t>
            </w:r>
          </w:p>
        </w:tc>
        <w:tc>
          <w:tcPr>
            <w:tcW w:w="1276" w:type="dxa"/>
            <w:tcBorders>
              <w:top w:val="single" w:sz="4" w:space="0" w:color="auto"/>
              <w:bottom w:val="single" w:sz="4" w:space="0" w:color="auto"/>
            </w:tcBorders>
          </w:tcPr>
          <w:p w:rsidR="001C12BE" w:rsidRPr="001C12BE" w:rsidRDefault="001C12BE" w:rsidP="001C12BE">
            <w:pPr>
              <w:ind w:left="34"/>
              <w:jc w:val="center"/>
              <w:rPr>
                <w:rFonts w:eastAsia="Calibri"/>
                <w:b/>
                <w:sz w:val="20"/>
                <w:szCs w:val="20"/>
                <w:lang w:val="en-ID"/>
              </w:rPr>
            </w:pPr>
            <w:r w:rsidRPr="001C12BE">
              <w:rPr>
                <w:rFonts w:eastAsia="Calibri"/>
                <w:b/>
                <w:sz w:val="20"/>
                <w:szCs w:val="20"/>
                <w:lang w:val="en-ID"/>
              </w:rPr>
              <w:t>Frekuensi (f)</w:t>
            </w:r>
          </w:p>
        </w:tc>
        <w:tc>
          <w:tcPr>
            <w:tcW w:w="1276" w:type="dxa"/>
            <w:tcBorders>
              <w:top w:val="single" w:sz="4" w:space="0" w:color="auto"/>
              <w:bottom w:val="single" w:sz="4" w:space="0" w:color="auto"/>
            </w:tcBorders>
            <w:vAlign w:val="center"/>
          </w:tcPr>
          <w:p w:rsidR="001C12BE" w:rsidRPr="001C12BE" w:rsidRDefault="001C12BE" w:rsidP="001C12BE">
            <w:pPr>
              <w:ind w:left="199" w:hanging="199"/>
              <w:jc w:val="center"/>
              <w:rPr>
                <w:rFonts w:eastAsia="Calibri"/>
                <w:b/>
                <w:sz w:val="20"/>
                <w:szCs w:val="20"/>
                <w:lang w:val="en-ID"/>
              </w:rPr>
            </w:pPr>
            <w:r w:rsidRPr="001C12BE">
              <w:rPr>
                <w:rFonts w:eastAsia="Calibri"/>
                <w:b/>
                <w:sz w:val="20"/>
                <w:szCs w:val="20"/>
                <w:lang w:val="en-ID"/>
              </w:rPr>
              <w:t>Persentasi (%)</w:t>
            </w:r>
          </w:p>
        </w:tc>
      </w:tr>
      <w:tr w:rsidR="001C12BE" w:rsidRPr="001C12BE" w:rsidTr="00B768BE">
        <w:trPr>
          <w:trHeight w:val="256"/>
          <w:jc w:val="center"/>
        </w:trPr>
        <w:tc>
          <w:tcPr>
            <w:tcW w:w="567" w:type="dxa"/>
            <w:tcBorders>
              <w:top w:val="single" w:sz="4" w:space="0" w:color="auto"/>
            </w:tcBorders>
          </w:tcPr>
          <w:p w:rsidR="001C12BE" w:rsidRPr="001C12BE" w:rsidRDefault="001C12BE" w:rsidP="001C12BE">
            <w:pPr>
              <w:ind w:left="709" w:hanging="709"/>
              <w:jc w:val="both"/>
              <w:rPr>
                <w:rFonts w:eastAsia="Calibri"/>
                <w:b/>
                <w:sz w:val="20"/>
                <w:szCs w:val="20"/>
                <w:lang w:val="en-ID"/>
              </w:rPr>
            </w:pPr>
            <w:r w:rsidRPr="001C12BE">
              <w:rPr>
                <w:rFonts w:eastAsia="Calibri"/>
                <w:b/>
                <w:sz w:val="20"/>
                <w:szCs w:val="20"/>
                <w:lang w:val="en-ID"/>
              </w:rPr>
              <w:t>1</w:t>
            </w:r>
          </w:p>
        </w:tc>
        <w:tc>
          <w:tcPr>
            <w:tcW w:w="1229" w:type="dxa"/>
            <w:tcBorders>
              <w:top w:val="single" w:sz="4" w:space="0" w:color="auto"/>
            </w:tcBorders>
            <w:vAlign w:val="bottom"/>
          </w:tcPr>
          <w:p w:rsidR="001C12BE" w:rsidRPr="001C12BE" w:rsidRDefault="001C12BE" w:rsidP="001C12BE">
            <w:pPr>
              <w:ind w:left="709" w:hanging="709"/>
              <w:jc w:val="both"/>
              <w:rPr>
                <w:rFonts w:eastAsia="Calibri"/>
                <w:b/>
                <w:sz w:val="20"/>
                <w:szCs w:val="20"/>
                <w:lang w:val="en-ID"/>
              </w:rPr>
            </w:pPr>
            <w:r w:rsidRPr="001C12BE">
              <w:rPr>
                <w:rFonts w:eastAsia="Calibri"/>
                <w:sz w:val="20"/>
                <w:szCs w:val="20"/>
                <w:lang w:val="en-ID"/>
              </w:rPr>
              <w:t>Kurang</w:t>
            </w:r>
          </w:p>
        </w:tc>
        <w:tc>
          <w:tcPr>
            <w:tcW w:w="1276" w:type="dxa"/>
            <w:tcBorders>
              <w:top w:val="single" w:sz="4" w:space="0" w:color="auto"/>
            </w:tcBorders>
            <w:vAlign w:val="bottom"/>
          </w:tcPr>
          <w:p w:rsidR="001C12BE" w:rsidRPr="001C12BE" w:rsidRDefault="001C12BE" w:rsidP="001C12BE">
            <w:pPr>
              <w:ind w:left="709" w:hanging="709"/>
              <w:jc w:val="center"/>
              <w:rPr>
                <w:rFonts w:eastAsia="Calibri"/>
                <w:b/>
                <w:sz w:val="20"/>
                <w:szCs w:val="20"/>
                <w:lang w:val="en-ID"/>
              </w:rPr>
            </w:pPr>
            <w:r w:rsidRPr="001C12BE">
              <w:rPr>
                <w:rFonts w:eastAsia="Calibri"/>
                <w:sz w:val="20"/>
                <w:szCs w:val="20"/>
                <w:lang w:val="en-ID"/>
              </w:rPr>
              <w:t>10</w:t>
            </w:r>
          </w:p>
        </w:tc>
        <w:tc>
          <w:tcPr>
            <w:tcW w:w="1276" w:type="dxa"/>
            <w:tcBorders>
              <w:top w:val="single" w:sz="4" w:space="0" w:color="auto"/>
            </w:tcBorders>
            <w:vAlign w:val="bottom"/>
          </w:tcPr>
          <w:p w:rsidR="001C12BE" w:rsidRPr="001C12BE" w:rsidRDefault="001C12BE" w:rsidP="001C12BE">
            <w:pPr>
              <w:ind w:left="709" w:hanging="709"/>
              <w:jc w:val="center"/>
              <w:rPr>
                <w:rFonts w:eastAsia="Calibri"/>
                <w:b/>
                <w:sz w:val="20"/>
                <w:szCs w:val="20"/>
                <w:lang w:val="en-ID"/>
              </w:rPr>
            </w:pPr>
            <w:r w:rsidRPr="001C12BE">
              <w:rPr>
                <w:rFonts w:eastAsia="Calibri"/>
                <w:sz w:val="20"/>
                <w:szCs w:val="20"/>
                <w:lang w:val="en-ID"/>
              </w:rPr>
              <w:t xml:space="preserve">21.3 </w:t>
            </w:r>
          </w:p>
        </w:tc>
      </w:tr>
      <w:tr w:rsidR="001C12BE" w:rsidRPr="001C12BE" w:rsidTr="00B768BE">
        <w:trPr>
          <w:trHeight w:val="256"/>
          <w:jc w:val="center"/>
        </w:trPr>
        <w:tc>
          <w:tcPr>
            <w:tcW w:w="567" w:type="dxa"/>
          </w:tcPr>
          <w:p w:rsidR="001C12BE" w:rsidRPr="001C12BE" w:rsidRDefault="001C12BE" w:rsidP="001C12BE">
            <w:pPr>
              <w:ind w:left="709" w:hanging="709"/>
              <w:jc w:val="both"/>
              <w:rPr>
                <w:rFonts w:eastAsia="Calibri"/>
                <w:b/>
                <w:sz w:val="20"/>
                <w:szCs w:val="20"/>
                <w:lang w:val="en-ID"/>
              </w:rPr>
            </w:pPr>
            <w:r w:rsidRPr="001C12BE">
              <w:rPr>
                <w:rFonts w:eastAsia="Calibri"/>
                <w:b/>
                <w:sz w:val="20"/>
                <w:szCs w:val="20"/>
                <w:lang w:val="en-ID"/>
              </w:rPr>
              <w:t>2</w:t>
            </w:r>
          </w:p>
        </w:tc>
        <w:tc>
          <w:tcPr>
            <w:tcW w:w="1229" w:type="dxa"/>
            <w:vAlign w:val="bottom"/>
          </w:tcPr>
          <w:p w:rsidR="001C12BE" w:rsidRPr="001C12BE" w:rsidRDefault="001C12BE" w:rsidP="001C12BE">
            <w:pPr>
              <w:ind w:left="709" w:hanging="709"/>
              <w:jc w:val="both"/>
              <w:rPr>
                <w:rFonts w:eastAsia="Calibri"/>
                <w:b/>
                <w:sz w:val="20"/>
                <w:szCs w:val="20"/>
                <w:lang w:val="en-ID"/>
              </w:rPr>
            </w:pPr>
            <w:r w:rsidRPr="001C12BE">
              <w:rPr>
                <w:rFonts w:eastAsia="Calibri"/>
                <w:sz w:val="20"/>
                <w:szCs w:val="20"/>
                <w:lang w:val="en-ID"/>
              </w:rPr>
              <w:t>Normal</w:t>
            </w:r>
          </w:p>
        </w:tc>
        <w:tc>
          <w:tcPr>
            <w:tcW w:w="1276" w:type="dxa"/>
            <w:vAlign w:val="bottom"/>
          </w:tcPr>
          <w:p w:rsidR="001C12BE" w:rsidRPr="001C12BE" w:rsidRDefault="001C12BE" w:rsidP="001C12BE">
            <w:pPr>
              <w:ind w:left="709" w:hanging="709"/>
              <w:jc w:val="center"/>
              <w:rPr>
                <w:rFonts w:eastAsia="Calibri"/>
                <w:b/>
                <w:sz w:val="20"/>
                <w:szCs w:val="20"/>
                <w:lang w:val="en-ID"/>
              </w:rPr>
            </w:pPr>
            <w:r w:rsidRPr="001C12BE">
              <w:rPr>
                <w:rFonts w:eastAsia="Calibri"/>
                <w:sz w:val="20"/>
                <w:szCs w:val="20"/>
                <w:lang w:val="en-ID"/>
              </w:rPr>
              <w:t>30</w:t>
            </w:r>
          </w:p>
        </w:tc>
        <w:tc>
          <w:tcPr>
            <w:tcW w:w="1276" w:type="dxa"/>
            <w:vAlign w:val="bottom"/>
          </w:tcPr>
          <w:p w:rsidR="001C12BE" w:rsidRPr="001C12BE" w:rsidRDefault="001C12BE" w:rsidP="001C12BE">
            <w:pPr>
              <w:ind w:left="709" w:hanging="709"/>
              <w:jc w:val="center"/>
              <w:rPr>
                <w:rFonts w:eastAsia="Calibri"/>
                <w:b/>
                <w:sz w:val="20"/>
                <w:szCs w:val="20"/>
                <w:lang w:val="en-ID"/>
              </w:rPr>
            </w:pPr>
            <w:r w:rsidRPr="001C12BE">
              <w:rPr>
                <w:rFonts w:eastAsia="Calibri"/>
                <w:sz w:val="20"/>
                <w:szCs w:val="20"/>
                <w:lang w:val="en-ID"/>
              </w:rPr>
              <w:t xml:space="preserve">63.8 </w:t>
            </w:r>
          </w:p>
        </w:tc>
      </w:tr>
      <w:tr w:rsidR="001C12BE" w:rsidRPr="001C12BE" w:rsidTr="00B768BE">
        <w:trPr>
          <w:trHeight w:val="256"/>
          <w:jc w:val="center"/>
        </w:trPr>
        <w:tc>
          <w:tcPr>
            <w:tcW w:w="567" w:type="dxa"/>
          </w:tcPr>
          <w:p w:rsidR="001C12BE" w:rsidRPr="001C12BE" w:rsidRDefault="001C12BE" w:rsidP="001C12BE">
            <w:pPr>
              <w:ind w:left="709" w:hanging="709"/>
              <w:jc w:val="both"/>
              <w:rPr>
                <w:rFonts w:eastAsia="Calibri"/>
                <w:b/>
                <w:sz w:val="20"/>
                <w:szCs w:val="20"/>
                <w:lang w:val="en-ID"/>
              </w:rPr>
            </w:pPr>
            <w:r w:rsidRPr="001C12BE">
              <w:rPr>
                <w:rFonts w:eastAsia="Calibri"/>
                <w:b/>
                <w:sz w:val="20"/>
                <w:szCs w:val="20"/>
                <w:lang w:val="en-ID"/>
              </w:rPr>
              <w:t>3</w:t>
            </w:r>
          </w:p>
        </w:tc>
        <w:tc>
          <w:tcPr>
            <w:tcW w:w="1229" w:type="dxa"/>
            <w:vAlign w:val="bottom"/>
          </w:tcPr>
          <w:p w:rsidR="001C12BE" w:rsidRPr="001C12BE" w:rsidRDefault="001C12BE" w:rsidP="001C12BE">
            <w:pPr>
              <w:ind w:left="709" w:hanging="709"/>
              <w:jc w:val="both"/>
              <w:rPr>
                <w:rFonts w:eastAsia="Calibri"/>
                <w:b/>
                <w:sz w:val="20"/>
                <w:szCs w:val="20"/>
                <w:lang w:val="en-ID"/>
              </w:rPr>
            </w:pPr>
            <w:r w:rsidRPr="001C12BE">
              <w:rPr>
                <w:rFonts w:eastAsia="Calibri"/>
                <w:sz w:val="20"/>
                <w:szCs w:val="20"/>
                <w:lang w:val="en-ID"/>
              </w:rPr>
              <w:t>Overweigh</w:t>
            </w:r>
          </w:p>
        </w:tc>
        <w:tc>
          <w:tcPr>
            <w:tcW w:w="1276" w:type="dxa"/>
            <w:vAlign w:val="bottom"/>
          </w:tcPr>
          <w:p w:rsidR="001C12BE" w:rsidRPr="001C12BE" w:rsidRDefault="001C12BE" w:rsidP="001C12BE">
            <w:pPr>
              <w:ind w:left="709" w:hanging="709"/>
              <w:jc w:val="center"/>
              <w:rPr>
                <w:rFonts w:eastAsia="Calibri"/>
                <w:b/>
                <w:sz w:val="20"/>
                <w:szCs w:val="20"/>
                <w:lang w:val="en-ID"/>
              </w:rPr>
            </w:pPr>
            <w:r w:rsidRPr="001C12BE">
              <w:rPr>
                <w:rFonts w:eastAsia="Calibri"/>
                <w:sz w:val="20"/>
                <w:szCs w:val="20"/>
                <w:lang w:val="en-ID"/>
              </w:rPr>
              <w:t>6</w:t>
            </w:r>
          </w:p>
        </w:tc>
        <w:tc>
          <w:tcPr>
            <w:tcW w:w="1276" w:type="dxa"/>
            <w:vAlign w:val="bottom"/>
          </w:tcPr>
          <w:p w:rsidR="001C12BE" w:rsidRPr="001C12BE" w:rsidRDefault="001C12BE" w:rsidP="001C12BE">
            <w:pPr>
              <w:ind w:left="709" w:hanging="709"/>
              <w:jc w:val="center"/>
              <w:rPr>
                <w:rFonts w:eastAsia="Calibri"/>
                <w:b/>
                <w:sz w:val="20"/>
                <w:szCs w:val="20"/>
                <w:lang w:val="en-ID"/>
              </w:rPr>
            </w:pPr>
            <w:r w:rsidRPr="001C12BE">
              <w:rPr>
                <w:rFonts w:eastAsia="Calibri"/>
                <w:sz w:val="20"/>
                <w:szCs w:val="20"/>
                <w:lang w:val="en-ID"/>
              </w:rPr>
              <w:t xml:space="preserve">12.8 </w:t>
            </w:r>
          </w:p>
        </w:tc>
      </w:tr>
      <w:tr w:rsidR="001C12BE" w:rsidRPr="001C12BE" w:rsidTr="00B768BE">
        <w:trPr>
          <w:trHeight w:val="256"/>
          <w:jc w:val="center"/>
        </w:trPr>
        <w:tc>
          <w:tcPr>
            <w:tcW w:w="567" w:type="dxa"/>
            <w:tcBorders>
              <w:bottom w:val="single" w:sz="4" w:space="0" w:color="auto"/>
            </w:tcBorders>
          </w:tcPr>
          <w:p w:rsidR="001C12BE" w:rsidRPr="001C12BE" w:rsidRDefault="001C12BE" w:rsidP="001C12BE">
            <w:pPr>
              <w:ind w:left="709" w:hanging="709"/>
              <w:jc w:val="both"/>
              <w:rPr>
                <w:rFonts w:eastAsia="Calibri"/>
                <w:b/>
                <w:sz w:val="20"/>
                <w:szCs w:val="20"/>
                <w:lang w:val="en-ID"/>
              </w:rPr>
            </w:pPr>
            <w:r w:rsidRPr="001C12BE">
              <w:rPr>
                <w:rFonts w:eastAsia="Calibri"/>
                <w:b/>
                <w:sz w:val="20"/>
                <w:szCs w:val="20"/>
                <w:lang w:val="en-ID"/>
              </w:rPr>
              <w:t>4</w:t>
            </w:r>
          </w:p>
        </w:tc>
        <w:tc>
          <w:tcPr>
            <w:tcW w:w="1229" w:type="dxa"/>
            <w:tcBorders>
              <w:bottom w:val="single" w:sz="4" w:space="0" w:color="auto"/>
            </w:tcBorders>
            <w:vAlign w:val="bottom"/>
          </w:tcPr>
          <w:p w:rsidR="001C12BE" w:rsidRPr="001C12BE" w:rsidRDefault="001C12BE" w:rsidP="001C12BE">
            <w:pPr>
              <w:ind w:left="709" w:hanging="709"/>
              <w:jc w:val="both"/>
              <w:rPr>
                <w:rFonts w:eastAsia="Calibri"/>
                <w:b/>
                <w:sz w:val="20"/>
                <w:szCs w:val="20"/>
                <w:lang w:val="en-ID"/>
              </w:rPr>
            </w:pPr>
            <w:r w:rsidRPr="001C12BE">
              <w:rPr>
                <w:rFonts w:eastAsia="Calibri"/>
                <w:sz w:val="20"/>
                <w:szCs w:val="20"/>
                <w:lang w:val="en-ID"/>
              </w:rPr>
              <w:t xml:space="preserve">Obesitas </w:t>
            </w:r>
          </w:p>
        </w:tc>
        <w:tc>
          <w:tcPr>
            <w:tcW w:w="1276" w:type="dxa"/>
            <w:tcBorders>
              <w:bottom w:val="single" w:sz="4" w:space="0" w:color="auto"/>
            </w:tcBorders>
            <w:vAlign w:val="bottom"/>
          </w:tcPr>
          <w:p w:rsidR="001C12BE" w:rsidRPr="001C12BE" w:rsidRDefault="001C12BE" w:rsidP="001C12BE">
            <w:pPr>
              <w:ind w:left="709" w:hanging="709"/>
              <w:jc w:val="center"/>
              <w:rPr>
                <w:rFonts w:eastAsia="Calibri"/>
                <w:b/>
                <w:sz w:val="20"/>
                <w:szCs w:val="20"/>
                <w:lang w:val="en-ID"/>
              </w:rPr>
            </w:pPr>
            <w:r w:rsidRPr="001C12BE">
              <w:rPr>
                <w:rFonts w:eastAsia="Calibri"/>
                <w:sz w:val="20"/>
                <w:szCs w:val="20"/>
                <w:lang w:val="en-ID"/>
              </w:rPr>
              <w:t>1</w:t>
            </w:r>
          </w:p>
        </w:tc>
        <w:tc>
          <w:tcPr>
            <w:tcW w:w="1276" w:type="dxa"/>
            <w:tcBorders>
              <w:bottom w:val="single" w:sz="4" w:space="0" w:color="auto"/>
            </w:tcBorders>
            <w:vAlign w:val="bottom"/>
          </w:tcPr>
          <w:p w:rsidR="001C12BE" w:rsidRPr="001C12BE" w:rsidRDefault="001C12BE" w:rsidP="001C12BE">
            <w:pPr>
              <w:ind w:left="709" w:hanging="709"/>
              <w:jc w:val="center"/>
              <w:rPr>
                <w:rFonts w:eastAsia="Calibri"/>
                <w:b/>
                <w:sz w:val="20"/>
                <w:szCs w:val="20"/>
                <w:lang w:val="en-ID"/>
              </w:rPr>
            </w:pPr>
            <w:r w:rsidRPr="001C12BE">
              <w:rPr>
                <w:rFonts w:eastAsia="Calibri"/>
                <w:sz w:val="20"/>
                <w:szCs w:val="20"/>
                <w:lang w:val="en-ID"/>
              </w:rPr>
              <w:t xml:space="preserve">2.1 </w:t>
            </w:r>
          </w:p>
        </w:tc>
      </w:tr>
      <w:tr w:rsidR="001C12BE" w:rsidRPr="001C12BE" w:rsidTr="00B768BE">
        <w:trPr>
          <w:trHeight w:val="256"/>
          <w:jc w:val="center"/>
        </w:trPr>
        <w:tc>
          <w:tcPr>
            <w:tcW w:w="567" w:type="dxa"/>
            <w:tcBorders>
              <w:top w:val="single" w:sz="4" w:space="0" w:color="auto"/>
              <w:bottom w:val="single" w:sz="4" w:space="0" w:color="auto"/>
            </w:tcBorders>
          </w:tcPr>
          <w:p w:rsidR="001C12BE" w:rsidRPr="001C12BE" w:rsidRDefault="001C12BE" w:rsidP="001C12BE">
            <w:pPr>
              <w:ind w:left="709" w:hanging="709"/>
              <w:jc w:val="both"/>
              <w:rPr>
                <w:rFonts w:eastAsia="Calibri"/>
                <w:b/>
                <w:sz w:val="20"/>
                <w:szCs w:val="20"/>
                <w:lang w:val="en-ID"/>
              </w:rPr>
            </w:pPr>
          </w:p>
        </w:tc>
        <w:tc>
          <w:tcPr>
            <w:tcW w:w="1229" w:type="dxa"/>
            <w:tcBorders>
              <w:top w:val="single" w:sz="4" w:space="0" w:color="auto"/>
              <w:bottom w:val="single" w:sz="4" w:space="0" w:color="auto"/>
            </w:tcBorders>
          </w:tcPr>
          <w:p w:rsidR="001C12BE" w:rsidRPr="001C12BE" w:rsidRDefault="001C12BE" w:rsidP="001C12BE">
            <w:pPr>
              <w:ind w:left="709" w:hanging="709"/>
              <w:jc w:val="both"/>
              <w:rPr>
                <w:rFonts w:eastAsia="Calibri"/>
                <w:b/>
                <w:sz w:val="20"/>
                <w:szCs w:val="20"/>
                <w:lang w:val="en-ID"/>
              </w:rPr>
            </w:pPr>
            <w:r w:rsidRPr="001C12BE">
              <w:rPr>
                <w:rFonts w:eastAsia="Calibri"/>
                <w:b/>
                <w:sz w:val="20"/>
                <w:szCs w:val="20"/>
                <w:lang w:val="en-ID"/>
              </w:rPr>
              <w:t xml:space="preserve">Total </w:t>
            </w:r>
          </w:p>
        </w:tc>
        <w:tc>
          <w:tcPr>
            <w:tcW w:w="1276" w:type="dxa"/>
            <w:tcBorders>
              <w:top w:val="single" w:sz="4" w:space="0" w:color="auto"/>
              <w:bottom w:val="single" w:sz="4" w:space="0" w:color="auto"/>
            </w:tcBorders>
          </w:tcPr>
          <w:p w:rsidR="001C12BE" w:rsidRPr="001C12BE" w:rsidRDefault="001C12BE" w:rsidP="001C12BE">
            <w:pPr>
              <w:ind w:left="709" w:hanging="709"/>
              <w:jc w:val="center"/>
              <w:rPr>
                <w:rFonts w:eastAsia="Calibri"/>
                <w:b/>
                <w:sz w:val="20"/>
                <w:szCs w:val="20"/>
                <w:lang w:val="en-ID"/>
              </w:rPr>
            </w:pPr>
            <w:r w:rsidRPr="001C12BE">
              <w:rPr>
                <w:rFonts w:eastAsia="Calibri"/>
                <w:b/>
                <w:sz w:val="20"/>
                <w:szCs w:val="20"/>
                <w:lang w:val="en-ID"/>
              </w:rPr>
              <w:t>47</w:t>
            </w:r>
          </w:p>
        </w:tc>
        <w:tc>
          <w:tcPr>
            <w:tcW w:w="1276" w:type="dxa"/>
            <w:tcBorders>
              <w:top w:val="single" w:sz="4" w:space="0" w:color="auto"/>
              <w:bottom w:val="single" w:sz="4" w:space="0" w:color="auto"/>
            </w:tcBorders>
          </w:tcPr>
          <w:p w:rsidR="001C12BE" w:rsidRPr="001C12BE" w:rsidRDefault="001C12BE" w:rsidP="001C12BE">
            <w:pPr>
              <w:ind w:left="709" w:hanging="709"/>
              <w:jc w:val="center"/>
              <w:rPr>
                <w:rFonts w:eastAsia="Calibri"/>
                <w:b/>
                <w:sz w:val="20"/>
                <w:szCs w:val="20"/>
                <w:lang w:val="en-ID"/>
              </w:rPr>
            </w:pPr>
            <w:r w:rsidRPr="001C12BE">
              <w:rPr>
                <w:rFonts w:eastAsia="Calibri"/>
                <w:b/>
                <w:sz w:val="20"/>
                <w:szCs w:val="20"/>
                <w:lang w:val="en-ID"/>
              </w:rPr>
              <w:t>100</w:t>
            </w:r>
          </w:p>
        </w:tc>
      </w:tr>
    </w:tbl>
    <w:p w:rsidR="001C12BE" w:rsidRPr="001C12BE" w:rsidRDefault="001C12BE" w:rsidP="001C12BE">
      <w:pPr>
        <w:widowControl/>
        <w:autoSpaceDE/>
        <w:autoSpaceDN/>
        <w:ind w:left="709" w:hanging="709"/>
        <w:jc w:val="both"/>
        <w:rPr>
          <w:rFonts w:eastAsia="Calibri"/>
          <w:lang w:val="en-US"/>
        </w:rPr>
      </w:pPr>
      <w:r w:rsidRPr="001C12BE">
        <w:rPr>
          <w:rFonts w:eastAsia="Calibri"/>
          <w:lang w:val="en-US"/>
        </w:rPr>
        <w:t>Data Primer</w:t>
      </w:r>
    </w:p>
    <w:p w:rsidR="001C12BE" w:rsidRPr="001C12BE" w:rsidRDefault="001C12BE" w:rsidP="00163249">
      <w:pPr>
        <w:widowControl/>
        <w:autoSpaceDE/>
        <w:autoSpaceDN/>
        <w:spacing w:line="360" w:lineRule="auto"/>
        <w:ind w:left="709" w:hanging="709"/>
        <w:jc w:val="both"/>
        <w:rPr>
          <w:rFonts w:eastAsia="Calibri"/>
          <w:sz w:val="24"/>
          <w:szCs w:val="24"/>
          <w:lang w:val="id-ID"/>
        </w:rPr>
      </w:pPr>
      <w:r w:rsidRPr="001C12BE">
        <w:rPr>
          <w:rFonts w:eastAsia="Calibri"/>
          <w:sz w:val="24"/>
          <w:szCs w:val="24"/>
          <w:lang w:val="fil-PH"/>
        </w:rPr>
        <w:t xml:space="preserve">Tabel 4. </w:t>
      </w:r>
      <w:r w:rsidRPr="001C12BE">
        <w:rPr>
          <w:rFonts w:eastAsia="Calibri"/>
          <w:sz w:val="24"/>
          <w:szCs w:val="24"/>
          <w:lang w:val="id-ID"/>
        </w:rPr>
        <w:t xml:space="preserve">Distribusi frekuensi </w:t>
      </w:r>
      <w:r w:rsidRPr="001C12BE">
        <w:rPr>
          <w:rFonts w:eastAsia="Calibri"/>
          <w:sz w:val="24"/>
          <w:szCs w:val="24"/>
          <w:lang w:val="en-US"/>
        </w:rPr>
        <w:t xml:space="preserve">responden berdasarkan hasi Pemeriksaan Tekanan Darah pada Calon pengantin wanita di wilayah KUA Kaliwates </w:t>
      </w:r>
    </w:p>
    <w:tbl>
      <w:tblPr>
        <w:tblStyle w:val="TableGrid"/>
        <w:tblW w:w="467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900"/>
        <w:gridCol w:w="1134"/>
        <w:gridCol w:w="1134"/>
      </w:tblGrid>
      <w:tr w:rsidR="001C12BE" w:rsidRPr="001C12BE" w:rsidTr="00B768BE">
        <w:trPr>
          <w:trHeight w:val="311"/>
          <w:jc w:val="center"/>
        </w:trPr>
        <w:tc>
          <w:tcPr>
            <w:tcW w:w="510" w:type="dxa"/>
            <w:tcBorders>
              <w:top w:val="single" w:sz="4" w:space="0" w:color="auto"/>
              <w:bottom w:val="single" w:sz="4" w:space="0" w:color="auto"/>
            </w:tcBorders>
          </w:tcPr>
          <w:p w:rsidR="001C12BE" w:rsidRPr="001C12BE" w:rsidRDefault="001C12BE" w:rsidP="001C12BE">
            <w:pPr>
              <w:ind w:left="709" w:hanging="709"/>
              <w:jc w:val="both"/>
              <w:rPr>
                <w:rFonts w:eastAsia="Calibri"/>
                <w:b/>
                <w:sz w:val="20"/>
                <w:szCs w:val="20"/>
                <w:lang w:val="en-US"/>
              </w:rPr>
            </w:pPr>
            <w:r w:rsidRPr="001C12BE">
              <w:rPr>
                <w:rFonts w:eastAsia="Calibri"/>
                <w:b/>
                <w:sz w:val="20"/>
                <w:szCs w:val="20"/>
                <w:lang w:val="en-US"/>
              </w:rPr>
              <w:t xml:space="preserve">No </w:t>
            </w:r>
          </w:p>
        </w:tc>
        <w:tc>
          <w:tcPr>
            <w:tcW w:w="1900" w:type="dxa"/>
            <w:tcBorders>
              <w:top w:val="single" w:sz="4" w:space="0" w:color="auto"/>
              <w:bottom w:val="single" w:sz="4" w:space="0" w:color="auto"/>
            </w:tcBorders>
          </w:tcPr>
          <w:p w:rsidR="001C12BE" w:rsidRPr="001C12BE" w:rsidRDefault="001C12BE" w:rsidP="001C12BE">
            <w:pPr>
              <w:jc w:val="both"/>
              <w:rPr>
                <w:rFonts w:eastAsia="Calibri"/>
                <w:b/>
                <w:sz w:val="20"/>
                <w:szCs w:val="20"/>
                <w:lang w:val="en-US"/>
              </w:rPr>
            </w:pPr>
            <w:r w:rsidRPr="001C12BE">
              <w:rPr>
                <w:rFonts w:eastAsia="Calibri"/>
                <w:b/>
                <w:sz w:val="20"/>
                <w:szCs w:val="20"/>
                <w:lang w:val="en-US"/>
              </w:rPr>
              <w:t>Tekanan Darah</w:t>
            </w:r>
          </w:p>
        </w:tc>
        <w:tc>
          <w:tcPr>
            <w:tcW w:w="1134" w:type="dxa"/>
            <w:tcBorders>
              <w:top w:val="single" w:sz="4" w:space="0" w:color="auto"/>
              <w:bottom w:val="single" w:sz="4" w:space="0" w:color="auto"/>
            </w:tcBorders>
          </w:tcPr>
          <w:p w:rsidR="001C12BE" w:rsidRPr="001C12BE" w:rsidRDefault="001C12BE" w:rsidP="001C12BE">
            <w:pPr>
              <w:jc w:val="center"/>
              <w:rPr>
                <w:rFonts w:eastAsia="Calibri"/>
                <w:b/>
                <w:sz w:val="20"/>
                <w:szCs w:val="20"/>
                <w:lang w:val="en-US"/>
              </w:rPr>
            </w:pPr>
            <w:r w:rsidRPr="001C12BE">
              <w:rPr>
                <w:rFonts w:eastAsia="Calibri"/>
                <w:b/>
                <w:sz w:val="20"/>
                <w:szCs w:val="20"/>
                <w:lang w:val="en-US"/>
              </w:rPr>
              <w:t>Frekuensi (f)</w:t>
            </w:r>
          </w:p>
        </w:tc>
        <w:tc>
          <w:tcPr>
            <w:tcW w:w="1134" w:type="dxa"/>
            <w:tcBorders>
              <w:top w:val="single" w:sz="4" w:space="0" w:color="auto"/>
              <w:bottom w:val="single" w:sz="4" w:space="0" w:color="auto"/>
            </w:tcBorders>
          </w:tcPr>
          <w:p w:rsidR="001C12BE" w:rsidRPr="001C12BE" w:rsidRDefault="001C12BE" w:rsidP="001C12BE">
            <w:pPr>
              <w:jc w:val="center"/>
              <w:rPr>
                <w:rFonts w:eastAsia="Calibri"/>
                <w:b/>
                <w:sz w:val="20"/>
                <w:szCs w:val="20"/>
                <w:lang w:val="en-US"/>
              </w:rPr>
            </w:pPr>
            <w:r w:rsidRPr="001C12BE">
              <w:rPr>
                <w:rFonts w:eastAsia="Calibri"/>
                <w:b/>
                <w:sz w:val="20"/>
                <w:szCs w:val="20"/>
                <w:lang w:val="en-US"/>
              </w:rPr>
              <w:t>Persentasi (%)</w:t>
            </w:r>
          </w:p>
        </w:tc>
      </w:tr>
      <w:tr w:rsidR="001C12BE" w:rsidRPr="001C12BE" w:rsidTr="00B768BE">
        <w:trPr>
          <w:trHeight w:val="256"/>
          <w:jc w:val="center"/>
        </w:trPr>
        <w:tc>
          <w:tcPr>
            <w:tcW w:w="510" w:type="dxa"/>
            <w:tcBorders>
              <w:top w:val="single" w:sz="4" w:space="0" w:color="auto"/>
            </w:tcBorders>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1</w:t>
            </w:r>
          </w:p>
        </w:tc>
        <w:tc>
          <w:tcPr>
            <w:tcW w:w="1900" w:type="dxa"/>
            <w:tcBorders>
              <w:top w:val="single" w:sz="4" w:space="0" w:color="auto"/>
            </w:tcBorders>
            <w:vAlign w:val="bottom"/>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Normal</w:t>
            </w:r>
          </w:p>
        </w:tc>
        <w:tc>
          <w:tcPr>
            <w:tcW w:w="1134" w:type="dxa"/>
            <w:tcBorders>
              <w:top w:val="single" w:sz="4" w:space="0" w:color="auto"/>
            </w:tcBorders>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25</w:t>
            </w:r>
          </w:p>
        </w:tc>
        <w:tc>
          <w:tcPr>
            <w:tcW w:w="1134" w:type="dxa"/>
            <w:tcBorders>
              <w:top w:val="single" w:sz="4" w:space="0" w:color="auto"/>
            </w:tcBorders>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 xml:space="preserve">53.2 </w:t>
            </w:r>
          </w:p>
        </w:tc>
      </w:tr>
      <w:tr w:rsidR="001C12BE" w:rsidRPr="001C12BE" w:rsidTr="00B768BE">
        <w:trPr>
          <w:trHeight w:val="256"/>
          <w:jc w:val="center"/>
        </w:trPr>
        <w:tc>
          <w:tcPr>
            <w:tcW w:w="510" w:type="dxa"/>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2</w:t>
            </w:r>
          </w:p>
        </w:tc>
        <w:tc>
          <w:tcPr>
            <w:tcW w:w="1900" w:type="dxa"/>
            <w:vAlign w:val="bottom"/>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Pra Hipertensi</w:t>
            </w:r>
          </w:p>
        </w:tc>
        <w:tc>
          <w:tcPr>
            <w:tcW w:w="1134" w:type="dxa"/>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17</w:t>
            </w:r>
          </w:p>
        </w:tc>
        <w:tc>
          <w:tcPr>
            <w:tcW w:w="1134" w:type="dxa"/>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 xml:space="preserve">36.2 </w:t>
            </w:r>
          </w:p>
        </w:tc>
      </w:tr>
      <w:tr w:rsidR="001C12BE" w:rsidRPr="001C12BE" w:rsidTr="00B768BE">
        <w:trPr>
          <w:trHeight w:val="256"/>
          <w:jc w:val="center"/>
        </w:trPr>
        <w:tc>
          <w:tcPr>
            <w:tcW w:w="510" w:type="dxa"/>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3</w:t>
            </w:r>
          </w:p>
        </w:tc>
        <w:tc>
          <w:tcPr>
            <w:tcW w:w="1900" w:type="dxa"/>
            <w:vAlign w:val="bottom"/>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Hipertensi Tingkat 1</w:t>
            </w:r>
          </w:p>
        </w:tc>
        <w:tc>
          <w:tcPr>
            <w:tcW w:w="1134" w:type="dxa"/>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5</w:t>
            </w:r>
          </w:p>
        </w:tc>
        <w:tc>
          <w:tcPr>
            <w:tcW w:w="1134" w:type="dxa"/>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 xml:space="preserve">10.6 </w:t>
            </w:r>
          </w:p>
        </w:tc>
      </w:tr>
      <w:tr w:rsidR="001C12BE" w:rsidRPr="001C12BE" w:rsidTr="00B768BE">
        <w:trPr>
          <w:trHeight w:val="256"/>
          <w:jc w:val="center"/>
        </w:trPr>
        <w:tc>
          <w:tcPr>
            <w:tcW w:w="510" w:type="dxa"/>
            <w:tcBorders>
              <w:bottom w:val="single" w:sz="4" w:space="0" w:color="auto"/>
            </w:tcBorders>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4</w:t>
            </w:r>
          </w:p>
        </w:tc>
        <w:tc>
          <w:tcPr>
            <w:tcW w:w="1900" w:type="dxa"/>
            <w:tcBorders>
              <w:bottom w:val="single" w:sz="4" w:space="0" w:color="auto"/>
            </w:tcBorders>
            <w:vAlign w:val="bottom"/>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Hipertensi Tingkat 2</w:t>
            </w:r>
          </w:p>
        </w:tc>
        <w:tc>
          <w:tcPr>
            <w:tcW w:w="1134" w:type="dxa"/>
            <w:tcBorders>
              <w:bottom w:val="single" w:sz="4" w:space="0" w:color="auto"/>
            </w:tcBorders>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0</w:t>
            </w:r>
          </w:p>
        </w:tc>
        <w:tc>
          <w:tcPr>
            <w:tcW w:w="1134" w:type="dxa"/>
            <w:tcBorders>
              <w:bottom w:val="single" w:sz="4" w:space="0" w:color="auto"/>
            </w:tcBorders>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 xml:space="preserve">0.0 </w:t>
            </w:r>
          </w:p>
        </w:tc>
      </w:tr>
      <w:tr w:rsidR="001C12BE" w:rsidRPr="001C12BE" w:rsidTr="00B768BE">
        <w:trPr>
          <w:trHeight w:val="256"/>
          <w:jc w:val="center"/>
        </w:trPr>
        <w:tc>
          <w:tcPr>
            <w:tcW w:w="510" w:type="dxa"/>
            <w:tcBorders>
              <w:top w:val="single" w:sz="4" w:space="0" w:color="auto"/>
              <w:bottom w:val="single" w:sz="4" w:space="0" w:color="auto"/>
            </w:tcBorders>
          </w:tcPr>
          <w:p w:rsidR="001C12BE" w:rsidRPr="001C12BE" w:rsidRDefault="001C12BE" w:rsidP="001C12BE">
            <w:pPr>
              <w:ind w:left="709" w:hanging="709"/>
              <w:jc w:val="both"/>
              <w:rPr>
                <w:rFonts w:eastAsia="Calibri"/>
                <w:sz w:val="20"/>
                <w:szCs w:val="20"/>
                <w:lang w:val="en-US"/>
              </w:rPr>
            </w:pPr>
          </w:p>
        </w:tc>
        <w:tc>
          <w:tcPr>
            <w:tcW w:w="1900" w:type="dxa"/>
            <w:tcBorders>
              <w:top w:val="single" w:sz="4" w:space="0" w:color="auto"/>
              <w:bottom w:val="single" w:sz="4" w:space="0" w:color="auto"/>
            </w:tcBorders>
            <w:vAlign w:val="bottom"/>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Total</w:t>
            </w:r>
          </w:p>
        </w:tc>
        <w:tc>
          <w:tcPr>
            <w:tcW w:w="1134" w:type="dxa"/>
            <w:tcBorders>
              <w:top w:val="single" w:sz="4" w:space="0" w:color="auto"/>
              <w:bottom w:val="single" w:sz="4" w:space="0" w:color="auto"/>
            </w:tcBorders>
          </w:tcPr>
          <w:p w:rsidR="001C12BE" w:rsidRPr="001C12BE" w:rsidRDefault="001C12BE" w:rsidP="001C12BE">
            <w:pPr>
              <w:jc w:val="center"/>
              <w:rPr>
                <w:rFonts w:eastAsia="Calibri"/>
                <w:b/>
                <w:sz w:val="20"/>
                <w:szCs w:val="20"/>
                <w:lang w:val="en-US"/>
              </w:rPr>
            </w:pPr>
            <w:r w:rsidRPr="001C12BE">
              <w:rPr>
                <w:rFonts w:eastAsia="Calibri"/>
                <w:b/>
                <w:sz w:val="20"/>
                <w:szCs w:val="20"/>
                <w:lang w:val="en-US"/>
              </w:rPr>
              <w:t>47</w:t>
            </w:r>
          </w:p>
        </w:tc>
        <w:tc>
          <w:tcPr>
            <w:tcW w:w="1134" w:type="dxa"/>
            <w:tcBorders>
              <w:top w:val="single" w:sz="4" w:space="0" w:color="auto"/>
              <w:bottom w:val="single" w:sz="4" w:space="0" w:color="auto"/>
            </w:tcBorders>
          </w:tcPr>
          <w:p w:rsidR="001C12BE" w:rsidRPr="001C12BE" w:rsidRDefault="001C12BE" w:rsidP="001C12BE">
            <w:pPr>
              <w:jc w:val="center"/>
              <w:rPr>
                <w:rFonts w:eastAsia="Calibri"/>
                <w:b/>
                <w:sz w:val="20"/>
                <w:szCs w:val="20"/>
                <w:lang w:val="en-US"/>
              </w:rPr>
            </w:pPr>
            <w:r w:rsidRPr="001C12BE">
              <w:rPr>
                <w:rFonts w:eastAsia="Calibri"/>
                <w:b/>
                <w:sz w:val="20"/>
                <w:szCs w:val="20"/>
                <w:lang w:val="en-US"/>
              </w:rPr>
              <w:t>100</w:t>
            </w:r>
          </w:p>
        </w:tc>
      </w:tr>
    </w:tbl>
    <w:p w:rsidR="001C12BE" w:rsidRPr="001C12BE" w:rsidRDefault="001C12BE" w:rsidP="001C12BE">
      <w:pPr>
        <w:widowControl/>
        <w:autoSpaceDE/>
        <w:autoSpaceDN/>
        <w:ind w:left="709" w:hanging="709"/>
        <w:jc w:val="both"/>
        <w:rPr>
          <w:rFonts w:eastAsia="Calibri"/>
          <w:lang w:val="en-US"/>
        </w:rPr>
      </w:pPr>
      <w:r w:rsidRPr="001C12BE">
        <w:rPr>
          <w:rFonts w:eastAsia="Calibri"/>
          <w:lang w:val="en-US"/>
        </w:rPr>
        <w:t>Data Primer</w:t>
      </w:r>
    </w:p>
    <w:p w:rsidR="001C12BE" w:rsidRPr="001C12BE" w:rsidRDefault="001C12BE" w:rsidP="001C12BE">
      <w:pPr>
        <w:widowControl/>
        <w:autoSpaceDE/>
        <w:autoSpaceDN/>
        <w:ind w:left="709" w:hanging="709"/>
        <w:jc w:val="both"/>
        <w:rPr>
          <w:rFonts w:eastAsia="Calibri"/>
          <w:lang w:val="en-US"/>
        </w:rPr>
      </w:pPr>
    </w:p>
    <w:p w:rsidR="001C12BE" w:rsidRPr="001C12BE" w:rsidRDefault="001C12BE" w:rsidP="001C12BE">
      <w:pPr>
        <w:widowControl/>
        <w:autoSpaceDE/>
        <w:autoSpaceDN/>
        <w:ind w:left="709" w:hanging="709"/>
        <w:jc w:val="both"/>
        <w:rPr>
          <w:rFonts w:eastAsia="Calibri"/>
          <w:lang w:val="en-US"/>
        </w:rPr>
      </w:pPr>
    </w:p>
    <w:p w:rsidR="001C12BE" w:rsidRPr="001C12BE" w:rsidRDefault="001C12BE" w:rsidP="00163249">
      <w:pPr>
        <w:widowControl/>
        <w:autoSpaceDE/>
        <w:autoSpaceDN/>
        <w:spacing w:line="360" w:lineRule="auto"/>
        <w:ind w:left="709" w:hanging="709"/>
        <w:jc w:val="both"/>
        <w:rPr>
          <w:rFonts w:eastAsia="Calibri"/>
          <w:sz w:val="24"/>
          <w:szCs w:val="24"/>
          <w:lang w:val="id-ID"/>
        </w:rPr>
      </w:pPr>
      <w:r w:rsidRPr="001C12BE">
        <w:rPr>
          <w:rFonts w:eastAsia="Calibri"/>
          <w:sz w:val="24"/>
          <w:szCs w:val="24"/>
          <w:lang w:val="fil-PH"/>
        </w:rPr>
        <w:t xml:space="preserve">Tabel 5. </w:t>
      </w:r>
      <w:r w:rsidRPr="001C12BE">
        <w:rPr>
          <w:rFonts w:eastAsia="Calibri"/>
          <w:sz w:val="24"/>
          <w:szCs w:val="24"/>
          <w:lang w:val="id-ID"/>
        </w:rPr>
        <w:t xml:space="preserve">Distribusi frekuensi </w:t>
      </w:r>
      <w:r w:rsidRPr="001C12BE">
        <w:rPr>
          <w:rFonts w:eastAsia="Calibri"/>
          <w:sz w:val="24"/>
          <w:szCs w:val="24"/>
          <w:lang w:val="en-US"/>
        </w:rPr>
        <w:t xml:space="preserve">responden berdasarkan hasi Pemeriksaan Lingkar Lengan Atas pada Calon pengantin wanita di wilayah KUA Kaliwates </w:t>
      </w:r>
    </w:p>
    <w:tbl>
      <w:tblPr>
        <w:tblStyle w:val="TableGrid"/>
        <w:tblW w:w="430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333"/>
        <w:gridCol w:w="1276"/>
        <w:gridCol w:w="1182"/>
      </w:tblGrid>
      <w:tr w:rsidR="001C12BE" w:rsidRPr="001C12BE" w:rsidTr="00B768BE">
        <w:trPr>
          <w:trHeight w:val="311"/>
          <w:jc w:val="center"/>
        </w:trPr>
        <w:tc>
          <w:tcPr>
            <w:tcW w:w="510" w:type="dxa"/>
            <w:tcBorders>
              <w:top w:val="single" w:sz="4" w:space="0" w:color="auto"/>
              <w:bottom w:val="single" w:sz="4" w:space="0" w:color="auto"/>
            </w:tcBorders>
          </w:tcPr>
          <w:p w:rsidR="001C12BE" w:rsidRPr="001C12BE" w:rsidRDefault="001C12BE" w:rsidP="001C12BE">
            <w:pPr>
              <w:ind w:left="709" w:hanging="709"/>
              <w:jc w:val="both"/>
              <w:rPr>
                <w:rFonts w:eastAsia="Calibri"/>
                <w:b/>
                <w:sz w:val="20"/>
                <w:szCs w:val="20"/>
                <w:lang w:val="en-US"/>
              </w:rPr>
            </w:pPr>
            <w:r w:rsidRPr="001C12BE">
              <w:rPr>
                <w:rFonts w:eastAsia="Calibri"/>
                <w:b/>
                <w:sz w:val="20"/>
                <w:szCs w:val="20"/>
                <w:lang w:val="en-US"/>
              </w:rPr>
              <w:t xml:space="preserve">No </w:t>
            </w:r>
          </w:p>
        </w:tc>
        <w:tc>
          <w:tcPr>
            <w:tcW w:w="1333" w:type="dxa"/>
            <w:tcBorders>
              <w:top w:val="single" w:sz="4" w:space="0" w:color="auto"/>
              <w:bottom w:val="single" w:sz="4" w:space="0" w:color="auto"/>
            </w:tcBorders>
          </w:tcPr>
          <w:p w:rsidR="001C12BE" w:rsidRPr="001C12BE" w:rsidRDefault="001C12BE" w:rsidP="001C12BE">
            <w:pPr>
              <w:jc w:val="both"/>
              <w:rPr>
                <w:rFonts w:eastAsia="Calibri"/>
                <w:b/>
                <w:sz w:val="20"/>
                <w:szCs w:val="20"/>
                <w:lang w:val="en-US"/>
              </w:rPr>
            </w:pPr>
            <w:r w:rsidRPr="001C12BE">
              <w:rPr>
                <w:rFonts w:eastAsia="Calibri"/>
                <w:b/>
                <w:sz w:val="20"/>
                <w:szCs w:val="20"/>
                <w:lang w:val="en-US"/>
              </w:rPr>
              <w:t>LILA</w:t>
            </w:r>
          </w:p>
        </w:tc>
        <w:tc>
          <w:tcPr>
            <w:tcW w:w="1276" w:type="dxa"/>
            <w:tcBorders>
              <w:top w:val="single" w:sz="4" w:space="0" w:color="auto"/>
              <w:bottom w:val="single" w:sz="4" w:space="0" w:color="auto"/>
            </w:tcBorders>
          </w:tcPr>
          <w:p w:rsidR="001C12BE" w:rsidRPr="001C12BE" w:rsidRDefault="001C12BE" w:rsidP="001C12BE">
            <w:pPr>
              <w:jc w:val="center"/>
              <w:rPr>
                <w:rFonts w:eastAsia="Calibri"/>
                <w:b/>
                <w:sz w:val="20"/>
                <w:szCs w:val="20"/>
                <w:lang w:val="en-US"/>
              </w:rPr>
            </w:pPr>
            <w:r w:rsidRPr="001C12BE">
              <w:rPr>
                <w:rFonts w:eastAsia="Calibri"/>
                <w:b/>
                <w:sz w:val="20"/>
                <w:szCs w:val="20"/>
                <w:lang w:val="en-US"/>
              </w:rPr>
              <w:t>Frekuensi (f)</w:t>
            </w:r>
          </w:p>
        </w:tc>
        <w:tc>
          <w:tcPr>
            <w:tcW w:w="1182" w:type="dxa"/>
            <w:tcBorders>
              <w:top w:val="single" w:sz="4" w:space="0" w:color="auto"/>
              <w:bottom w:val="single" w:sz="4" w:space="0" w:color="auto"/>
            </w:tcBorders>
          </w:tcPr>
          <w:p w:rsidR="001C12BE" w:rsidRPr="001C12BE" w:rsidRDefault="001C12BE" w:rsidP="001C12BE">
            <w:pPr>
              <w:jc w:val="center"/>
              <w:rPr>
                <w:rFonts w:eastAsia="Calibri"/>
                <w:b/>
                <w:sz w:val="20"/>
                <w:szCs w:val="20"/>
                <w:lang w:val="en-US"/>
              </w:rPr>
            </w:pPr>
            <w:r w:rsidRPr="001C12BE">
              <w:rPr>
                <w:rFonts w:eastAsia="Calibri"/>
                <w:b/>
                <w:sz w:val="20"/>
                <w:szCs w:val="20"/>
                <w:lang w:val="en-US"/>
              </w:rPr>
              <w:t>Persentasi (%)</w:t>
            </w:r>
          </w:p>
        </w:tc>
      </w:tr>
      <w:tr w:rsidR="001C12BE" w:rsidRPr="001C12BE" w:rsidTr="00B768BE">
        <w:trPr>
          <w:trHeight w:val="256"/>
          <w:jc w:val="center"/>
        </w:trPr>
        <w:tc>
          <w:tcPr>
            <w:tcW w:w="510" w:type="dxa"/>
            <w:tcBorders>
              <w:top w:val="single" w:sz="4" w:space="0" w:color="auto"/>
            </w:tcBorders>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1</w:t>
            </w:r>
          </w:p>
        </w:tc>
        <w:tc>
          <w:tcPr>
            <w:tcW w:w="1333" w:type="dxa"/>
            <w:tcBorders>
              <w:top w:val="single" w:sz="4" w:space="0" w:color="auto"/>
            </w:tcBorders>
            <w:vAlign w:val="bottom"/>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Normal</w:t>
            </w:r>
          </w:p>
        </w:tc>
        <w:tc>
          <w:tcPr>
            <w:tcW w:w="1276" w:type="dxa"/>
            <w:tcBorders>
              <w:top w:val="single" w:sz="4" w:space="0" w:color="auto"/>
            </w:tcBorders>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39</w:t>
            </w:r>
          </w:p>
        </w:tc>
        <w:tc>
          <w:tcPr>
            <w:tcW w:w="1182" w:type="dxa"/>
            <w:tcBorders>
              <w:top w:val="single" w:sz="4" w:space="0" w:color="auto"/>
            </w:tcBorders>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83</w:t>
            </w:r>
          </w:p>
        </w:tc>
      </w:tr>
      <w:tr w:rsidR="001C12BE" w:rsidRPr="001C12BE" w:rsidTr="00B768BE">
        <w:trPr>
          <w:trHeight w:val="256"/>
          <w:jc w:val="center"/>
        </w:trPr>
        <w:tc>
          <w:tcPr>
            <w:tcW w:w="510" w:type="dxa"/>
            <w:tcBorders>
              <w:bottom w:val="single" w:sz="4" w:space="0" w:color="auto"/>
            </w:tcBorders>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2</w:t>
            </w:r>
          </w:p>
        </w:tc>
        <w:tc>
          <w:tcPr>
            <w:tcW w:w="1333" w:type="dxa"/>
            <w:tcBorders>
              <w:bottom w:val="single" w:sz="4" w:space="0" w:color="auto"/>
            </w:tcBorders>
            <w:vAlign w:val="bottom"/>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 xml:space="preserve">Kurang  </w:t>
            </w:r>
          </w:p>
        </w:tc>
        <w:tc>
          <w:tcPr>
            <w:tcW w:w="1276" w:type="dxa"/>
            <w:tcBorders>
              <w:bottom w:val="single" w:sz="4" w:space="0" w:color="auto"/>
            </w:tcBorders>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8</w:t>
            </w:r>
          </w:p>
        </w:tc>
        <w:tc>
          <w:tcPr>
            <w:tcW w:w="1182" w:type="dxa"/>
            <w:tcBorders>
              <w:bottom w:val="single" w:sz="4" w:space="0" w:color="auto"/>
            </w:tcBorders>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17</w:t>
            </w:r>
          </w:p>
        </w:tc>
      </w:tr>
      <w:tr w:rsidR="001C12BE" w:rsidRPr="001C12BE" w:rsidTr="00B768BE">
        <w:trPr>
          <w:trHeight w:val="256"/>
          <w:jc w:val="center"/>
        </w:trPr>
        <w:tc>
          <w:tcPr>
            <w:tcW w:w="510" w:type="dxa"/>
            <w:tcBorders>
              <w:top w:val="single" w:sz="4" w:space="0" w:color="auto"/>
              <w:bottom w:val="single" w:sz="4" w:space="0" w:color="auto"/>
            </w:tcBorders>
          </w:tcPr>
          <w:p w:rsidR="001C12BE" w:rsidRPr="001C12BE" w:rsidRDefault="001C12BE" w:rsidP="001C12BE">
            <w:pPr>
              <w:ind w:left="709" w:hanging="709"/>
              <w:jc w:val="both"/>
              <w:rPr>
                <w:rFonts w:eastAsia="Calibri"/>
                <w:b/>
                <w:sz w:val="20"/>
                <w:szCs w:val="20"/>
                <w:lang w:val="en-US"/>
              </w:rPr>
            </w:pPr>
          </w:p>
        </w:tc>
        <w:tc>
          <w:tcPr>
            <w:tcW w:w="1333" w:type="dxa"/>
            <w:tcBorders>
              <w:top w:val="single" w:sz="4" w:space="0" w:color="auto"/>
              <w:bottom w:val="single" w:sz="4" w:space="0" w:color="auto"/>
            </w:tcBorders>
          </w:tcPr>
          <w:p w:rsidR="001C12BE" w:rsidRPr="001C12BE" w:rsidRDefault="001C12BE" w:rsidP="001C12BE">
            <w:pPr>
              <w:ind w:left="709" w:hanging="709"/>
              <w:jc w:val="both"/>
              <w:rPr>
                <w:rFonts w:eastAsia="Calibri"/>
                <w:b/>
                <w:sz w:val="20"/>
                <w:szCs w:val="20"/>
                <w:lang w:val="en-US"/>
              </w:rPr>
            </w:pPr>
            <w:r w:rsidRPr="001C12BE">
              <w:rPr>
                <w:rFonts w:eastAsia="Calibri"/>
                <w:b/>
                <w:sz w:val="20"/>
                <w:szCs w:val="20"/>
                <w:lang w:val="en-US"/>
              </w:rPr>
              <w:t xml:space="preserve">Total </w:t>
            </w:r>
          </w:p>
        </w:tc>
        <w:tc>
          <w:tcPr>
            <w:tcW w:w="1276" w:type="dxa"/>
            <w:tcBorders>
              <w:top w:val="single" w:sz="4" w:space="0" w:color="auto"/>
              <w:bottom w:val="single" w:sz="4" w:space="0" w:color="auto"/>
            </w:tcBorders>
          </w:tcPr>
          <w:p w:rsidR="001C12BE" w:rsidRPr="001C12BE" w:rsidRDefault="001C12BE" w:rsidP="001C12BE">
            <w:pPr>
              <w:ind w:left="709" w:hanging="709"/>
              <w:jc w:val="center"/>
              <w:rPr>
                <w:rFonts w:eastAsia="Calibri"/>
                <w:b/>
                <w:sz w:val="20"/>
                <w:szCs w:val="20"/>
                <w:lang w:val="en-US"/>
              </w:rPr>
            </w:pPr>
            <w:r w:rsidRPr="001C12BE">
              <w:rPr>
                <w:rFonts w:eastAsia="Calibri"/>
                <w:b/>
                <w:sz w:val="20"/>
                <w:szCs w:val="20"/>
                <w:lang w:val="en-US"/>
              </w:rPr>
              <w:t>47</w:t>
            </w:r>
          </w:p>
        </w:tc>
        <w:tc>
          <w:tcPr>
            <w:tcW w:w="1182" w:type="dxa"/>
            <w:tcBorders>
              <w:top w:val="single" w:sz="4" w:space="0" w:color="auto"/>
              <w:bottom w:val="single" w:sz="4" w:space="0" w:color="auto"/>
            </w:tcBorders>
          </w:tcPr>
          <w:p w:rsidR="001C12BE" w:rsidRPr="001C12BE" w:rsidRDefault="001C12BE" w:rsidP="001C12BE">
            <w:pPr>
              <w:ind w:left="709" w:hanging="709"/>
              <w:jc w:val="center"/>
              <w:rPr>
                <w:rFonts w:eastAsia="Calibri"/>
                <w:b/>
                <w:sz w:val="20"/>
                <w:szCs w:val="20"/>
                <w:lang w:val="en-US"/>
              </w:rPr>
            </w:pPr>
            <w:r w:rsidRPr="001C12BE">
              <w:rPr>
                <w:rFonts w:eastAsia="Calibri"/>
                <w:b/>
                <w:sz w:val="20"/>
                <w:szCs w:val="20"/>
                <w:lang w:val="en-US"/>
              </w:rPr>
              <w:t>100</w:t>
            </w:r>
          </w:p>
        </w:tc>
      </w:tr>
    </w:tbl>
    <w:p w:rsidR="001C12BE" w:rsidRPr="001C12BE" w:rsidRDefault="001C12BE" w:rsidP="001C12BE">
      <w:pPr>
        <w:widowControl/>
        <w:autoSpaceDE/>
        <w:autoSpaceDN/>
        <w:ind w:left="709" w:hanging="709"/>
        <w:jc w:val="both"/>
        <w:rPr>
          <w:rFonts w:eastAsia="Calibri"/>
          <w:lang w:val="en-US"/>
        </w:rPr>
      </w:pPr>
      <w:r w:rsidRPr="001C12BE">
        <w:rPr>
          <w:rFonts w:eastAsia="Calibri"/>
          <w:lang w:val="en-US"/>
        </w:rPr>
        <w:t>Data Primer</w:t>
      </w:r>
    </w:p>
    <w:p w:rsidR="001C12BE" w:rsidRPr="001C12BE" w:rsidRDefault="001C12BE" w:rsidP="00163249">
      <w:pPr>
        <w:widowControl/>
        <w:autoSpaceDE/>
        <w:autoSpaceDN/>
        <w:spacing w:line="360" w:lineRule="auto"/>
        <w:ind w:left="709" w:hanging="709"/>
        <w:jc w:val="both"/>
        <w:rPr>
          <w:rFonts w:eastAsia="Calibri"/>
          <w:sz w:val="24"/>
          <w:szCs w:val="24"/>
          <w:lang w:val="en-US"/>
        </w:rPr>
      </w:pPr>
    </w:p>
    <w:p w:rsidR="001C12BE" w:rsidRPr="001C12BE" w:rsidRDefault="001C12BE" w:rsidP="00163249">
      <w:pPr>
        <w:widowControl/>
        <w:autoSpaceDE/>
        <w:autoSpaceDN/>
        <w:spacing w:line="360" w:lineRule="auto"/>
        <w:ind w:left="709" w:hanging="709"/>
        <w:jc w:val="both"/>
        <w:rPr>
          <w:rFonts w:eastAsia="Calibri"/>
          <w:sz w:val="24"/>
          <w:szCs w:val="24"/>
          <w:lang w:val="id-ID"/>
        </w:rPr>
      </w:pPr>
      <w:r w:rsidRPr="001C12BE">
        <w:rPr>
          <w:rFonts w:eastAsia="Calibri"/>
          <w:sz w:val="24"/>
          <w:szCs w:val="24"/>
          <w:lang w:val="fil-PH"/>
        </w:rPr>
        <w:t xml:space="preserve">Tabel 6. </w:t>
      </w:r>
      <w:r w:rsidRPr="001C12BE">
        <w:rPr>
          <w:rFonts w:eastAsia="Calibri"/>
          <w:sz w:val="24"/>
          <w:szCs w:val="24"/>
          <w:lang w:val="id-ID"/>
        </w:rPr>
        <w:t xml:space="preserve">Distribusi frekuensi </w:t>
      </w:r>
      <w:r w:rsidRPr="001C12BE">
        <w:rPr>
          <w:rFonts w:eastAsia="Calibri"/>
          <w:sz w:val="24"/>
          <w:szCs w:val="24"/>
          <w:lang w:val="en-US"/>
        </w:rPr>
        <w:t xml:space="preserve">responden berdasarkan hasi Pemeriksaan Kadar </w:t>
      </w:r>
      <w:r w:rsidRPr="001C12BE">
        <w:rPr>
          <w:rFonts w:eastAsia="Calibri"/>
          <w:sz w:val="24"/>
          <w:szCs w:val="24"/>
          <w:lang w:val="en-US"/>
        </w:rPr>
        <w:lastRenderedPageBreak/>
        <w:t xml:space="preserve">Gula dalam Darah (Glukosa) pada Calon pengantin wanita di wilayah KUA Kaliwates </w:t>
      </w:r>
    </w:p>
    <w:tbl>
      <w:tblPr>
        <w:tblStyle w:val="TableGrid"/>
        <w:tblW w:w="425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492"/>
        <w:gridCol w:w="1117"/>
        <w:gridCol w:w="1134"/>
      </w:tblGrid>
      <w:tr w:rsidR="001C12BE" w:rsidRPr="001C12BE" w:rsidTr="00B768BE">
        <w:trPr>
          <w:trHeight w:val="311"/>
          <w:jc w:val="center"/>
        </w:trPr>
        <w:tc>
          <w:tcPr>
            <w:tcW w:w="510" w:type="dxa"/>
            <w:tcBorders>
              <w:top w:val="single" w:sz="4" w:space="0" w:color="auto"/>
              <w:bottom w:val="single" w:sz="4" w:space="0" w:color="auto"/>
            </w:tcBorders>
          </w:tcPr>
          <w:p w:rsidR="001C12BE" w:rsidRPr="001C12BE" w:rsidRDefault="001C12BE" w:rsidP="001C12BE">
            <w:pPr>
              <w:ind w:left="709" w:hanging="709"/>
              <w:jc w:val="both"/>
              <w:rPr>
                <w:rFonts w:eastAsia="Calibri"/>
                <w:b/>
                <w:sz w:val="20"/>
                <w:szCs w:val="20"/>
                <w:lang w:val="en-US"/>
              </w:rPr>
            </w:pPr>
            <w:r w:rsidRPr="001C12BE">
              <w:rPr>
                <w:rFonts w:eastAsia="Calibri"/>
                <w:b/>
                <w:sz w:val="20"/>
                <w:szCs w:val="20"/>
                <w:lang w:val="en-US"/>
              </w:rPr>
              <w:t xml:space="preserve">No </w:t>
            </w:r>
          </w:p>
        </w:tc>
        <w:tc>
          <w:tcPr>
            <w:tcW w:w="1492" w:type="dxa"/>
            <w:tcBorders>
              <w:top w:val="single" w:sz="4" w:space="0" w:color="auto"/>
              <w:bottom w:val="single" w:sz="4" w:space="0" w:color="auto"/>
            </w:tcBorders>
          </w:tcPr>
          <w:p w:rsidR="001C12BE" w:rsidRPr="001C12BE" w:rsidRDefault="001C12BE" w:rsidP="001C12BE">
            <w:pPr>
              <w:jc w:val="both"/>
              <w:rPr>
                <w:rFonts w:eastAsia="Calibri"/>
                <w:b/>
                <w:sz w:val="20"/>
                <w:szCs w:val="20"/>
                <w:lang w:val="en-US"/>
              </w:rPr>
            </w:pPr>
            <w:r w:rsidRPr="001C12BE">
              <w:rPr>
                <w:rFonts w:eastAsia="Calibri"/>
                <w:b/>
                <w:sz w:val="20"/>
                <w:szCs w:val="20"/>
                <w:lang w:val="en-US"/>
              </w:rPr>
              <w:t>GDA</w:t>
            </w:r>
          </w:p>
        </w:tc>
        <w:tc>
          <w:tcPr>
            <w:tcW w:w="1117" w:type="dxa"/>
            <w:tcBorders>
              <w:top w:val="single" w:sz="4" w:space="0" w:color="auto"/>
              <w:bottom w:val="single" w:sz="4" w:space="0" w:color="auto"/>
            </w:tcBorders>
          </w:tcPr>
          <w:p w:rsidR="001C12BE" w:rsidRPr="001C12BE" w:rsidRDefault="001C12BE" w:rsidP="001C12BE">
            <w:pPr>
              <w:jc w:val="center"/>
              <w:rPr>
                <w:rFonts w:eastAsia="Calibri"/>
                <w:b/>
                <w:sz w:val="20"/>
                <w:szCs w:val="20"/>
                <w:lang w:val="en-US"/>
              </w:rPr>
            </w:pPr>
            <w:r w:rsidRPr="001C12BE">
              <w:rPr>
                <w:rFonts w:eastAsia="Calibri"/>
                <w:b/>
                <w:sz w:val="20"/>
                <w:szCs w:val="20"/>
                <w:lang w:val="en-US"/>
              </w:rPr>
              <w:t>Frekuensi (f)</w:t>
            </w:r>
          </w:p>
        </w:tc>
        <w:tc>
          <w:tcPr>
            <w:tcW w:w="1134" w:type="dxa"/>
            <w:tcBorders>
              <w:top w:val="single" w:sz="4" w:space="0" w:color="auto"/>
              <w:bottom w:val="single" w:sz="4" w:space="0" w:color="auto"/>
            </w:tcBorders>
          </w:tcPr>
          <w:p w:rsidR="001C12BE" w:rsidRPr="001C12BE" w:rsidRDefault="001C12BE" w:rsidP="001C12BE">
            <w:pPr>
              <w:jc w:val="center"/>
              <w:rPr>
                <w:rFonts w:eastAsia="Calibri"/>
                <w:b/>
                <w:sz w:val="20"/>
                <w:szCs w:val="20"/>
                <w:lang w:val="en-US"/>
              </w:rPr>
            </w:pPr>
            <w:r w:rsidRPr="001C12BE">
              <w:rPr>
                <w:rFonts w:eastAsia="Calibri"/>
                <w:b/>
                <w:sz w:val="20"/>
                <w:szCs w:val="20"/>
                <w:lang w:val="en-US"/>
              </w:rPr>
              <w:t>Persentasi (%)</w:t>
            </w:r>
          </w:p>
        </w:tc>
      </w:tr>
      <w:tr w:rsidR="001C12BE" w:rsidRPr="001C12BE" w:rsidTr="00B768BE">
        <w:trPr>
          <w:trHeight w:val="256"/>
          <w:jc w:val="center"/>
        </w:trPr>
        <w:tc>
          <w:tcPr>
            <w:tcW w:w="510" w:type="dxa"/>
            <w:tcBorders>
              <w:top w:val="single" w:sz="4" w:space="0" w:color="auto"/>
            </w:tcBorders>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1</w:t>
            </w:r>
          </w:p>
        </w:tc>
        <w:tc>
          <w:tcPr>
            <w:tcW w:w="1492" w:type="dxa"/>
            <w:tcBorders>
              <w:top w:val="single" w:sz="4" w:space="0" w:color="auto"/>
            </w:tcBorders>
            <w:vAlign w:val="bottom"/>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Normal</w:t>
            </w:r>
          </w:p>
        </w:tc>
        <w:tc>
          <w:tcPr>
            <w:tcW w:w="1117" w:type="dxa"/>
            <w:tcBorders>
              <w:top w:val="single" w:sz="4" w:space="0" w:color="auto"/>
            </w:tcBorders>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47</w:t>
            </w:r>
          </w:p>
        </w:tc>
        <w:tc>
          <w:tcPr>
            <w:tcW w:w="1134" w:type="dxa"/>
            <w:tcBorders>
              <w:top w:val="single" w:sz="4" w:space="0" w:color="auto"/>
            </w:tcBorders>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 xml:space="preserve">100 </w:t>
            </w:r>
          </w:p>
        </w:tc>
      </w:tr>
      <w:tr w:rsidR="001C12BE" w:rsidRPr="001C12BE" w:rsidTr="00B768BE">
        <w:trPr>
          <w:trHeight w:val="256"/>
          <w:jc w:val="center"/>
        </w:trPr>
        <w:tc>
          <w:tcPr>
            <w:tcW w:w="510" w:type="dxa"/>
            <w:tcBorders>
              <w:bottom w:val="single" w:sz="4" w:space="0" w:color="auto"/>
            </w:tcBorders>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2</w:t>
            </w:r>
          </w:p>
        </w:tc>
        <w:tc>
          <w:tcPr>
            <w:tcW w:w="1492" w:type="dxa"/>
            <w:tcBorders>
              <w:bottom w:val="single" w:sz="4" w:space="0" w:color="auto"/>
            </w:tcBorders>
            <w:vAlign w:val="bottom"/>
          </w:tcPr>
          <w:p w:rsidR="001C12BE" w:rsidRPr="001C12BE" w:rsidRDefault="001C12BE" w:rsidP="001C12BE">
            <w:pPr>
              <w:ind w:left="709" w:hanging="709"/>
              <w:jc w:val="both"/>
              <w:rPr>
                <w:rFonts w:eastAsia="Calibri"/>
                <w:sz w:val="20"/>
                <w:szCs w:val="20"/>
                <w:lang w:val="en-US"/>
              </w:rPr>
            </w:pPr>
            <w:r w:rsidRPr="001C12BE">
              <w:rPr>
                <w:rFonts w:eastAsia="Calibri"/>
                <w:sz w:val="20"/>
                <w:szCs w:val="20"/>
                <w:lang w:val="en-US"/>
              </w:rPr>
              <w:t xml:space="preserve">Tidak normal </w:t>
            </w:r>
          </w:p>
        </w:tc>
        <w:tc>
          <w:tcPr>
            <w:tcW w:w="1117" w:type="dxa"/>
            <w:tcBorders>
              <w:bottom w:val="single" w:sz="4" w:space="0" w:color="auto"/>
            </w:tcBorders>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0</w:t>
            </w:r>
          </w:p>
        </w:tc>
        <w:tc>
          <w:tcPr>
            <w:tcW w:w="1134" w:type="dxa"/>
            <w:tcBorders>
              <w:bottom w:val="single" w:sz="4" w:space="0" w:color="auto"/>
            </w:tcBorders>
            <w:vAlign w:val="bottom"/>
          </w:tcPr>
          <w:p w:rsidR="001C12BE" w:rsidRPr="001C12BE" w:rsidRDefault="001C12BE" w:rsidP="001C12BE">
            <w:pPr>
              <w:ind w:left="709" w:hanging="709"/>
              <w:jc w:val="center"/>
              <w:rPr>
                <w:rFonts w:eastAsia="Calibri"/>
                <w:sz w:val="20"/>
                <w:szCs w:val="20"/>
                <w:lang w:val="en-US"/>
              </w:rPr>
            </w:pPr>
            <w:r w:rsidRPr="001C12BE">
              <w:rPr>
                <w:rFonts w:eastAsia="Calibri"/>
                <w:sz w:val="20"/>
                <w:szCs w:val="20"/>
                <w:lang w:val="en-US"/>
              </w:rPr>
              <w:t xml:space="preserve">0 </w:t>
            </w:r>
          </w:p>
        </w:tc>
      </w:tr>
      <w:tr w:rsidR="001C12BE" w:rsidRPr="001C12BE" w:rsidTr="00B768BE">
        <w:trPr>
          <w:trHeight w:val="256"/>
          <w:jc w:val="center"/>
        </w:trPr>
        <w:tc>
          <w:tcPr>
            <w:tcW w:w="510" w:type="dxa"/>
            <w:tcBorders>
              <w:top w:val="single" w:sz="4" w:space="0" w:color="auto"/>
              <w:bottom w:val="single" w:sz="4" w:space="0" w:color="auto"/>
            </w:tcBorders>
          </w:tcPr>
          <w:p w:rsidR="001C12BE" w:rsidRPr="001C12BE" w:rsidRDefault="001C12BE" w:rsidP="001C12BE">
            <w:pPr>
              <w:ind w:left="709" w:hanging="709"/>
              <w:jc w:val="both"/>
              <w:rPr>
                <w:rFonts w:eastAsia="Calibri"/>
                <w:b/>
                <w:sz w:val="20"/>
                <w:szCs w:val="20"/>
                <w:lang w:val="en-US"/>
              </w:rPr>
            </w:pPr>
          </w:p>
        </w:tc>
        <w:tc>
          <w:tcPr>
            <w:tcW w:w="1492" w:type="dxa"/>
            <w:tcBorders>
              <w:top w:val="single" w:sz="4" w:space="0" w:color="auto"/>
              <w:bottom w:val="single" w:sz="4" w:space="0" w:color="auto"/>
            </w:tcBorders>
          </w:tcPr>
          <w:p w:rsidR="001C12BE" w:rsidRPr="001C12BE" w:rsidRDefault="001C12BE" w:rsidP="001C12BE">
            <w:pPr>
              <w:ind w:left="709" w:hanging="709"/>
              <w:jc w:val="both"/>
              <w:rPr>
                <w:rFonts w:eastAsia="Calibri"/>
                <w:b/>
                <w:sz w:val="20"/>
                <w:szCs w:val="20"/>
                <w:lang w:val="en-US"/>
              </w:rPr>
            </w:pPr>
            <w:r w:rsidRPr="001C12BE">
              <w:rPr>
                <w:rFonts w:eastAsia="Calibri"/>
                <w:b/>
                <w:sz w:val="20"/>
                <w:szCs w:val="20"/>
                <w:lang w:val="en-US"/>
              </w:rPr>
              <w:t xml:space="preserve">Total </w:t>
            </w:r>
          </w:p>
        </w:tc>
        <w:tc>
          <w:tcPr>
            <w:tcW w:w="1117" w:type="dxa"/>
            <w:tcBorders>
              <w:top w:val="single" w:sz="4" w:space="0" w:color="auto"/>
              <w:bottom w:val="single" w:sz="4" w:space="0" w:color="auto"/>
            </w:tcBorders>
          </w:tcPr>
          <w:p w:rsidR="001C12BE" w:rsidRPr="001C12BE" w:rsidRDefault="001C12BE" w:rsidP="001C12BE">
            <w:pPr>
              <w:ind w:left="709" w:hanging="709"/>
              <w:jc w:val="center"/>
              <w:rPr>
                <w:rFonts w:eastAsia="Calibri"/>
                <w:b/>
                <w:sz w:val="20"/>
                <w:szCs w:val="20"/>
                <w:lang w:val="en-US"/>
              </w:rPr>
            </w:pPr>
            <w:r w:rsidRPr="001C12BE">
              <w:rPr>
                <w:rFonts w:eastAsia="Calibri"/>
                <w:b/>
                <w:sz w:val="20"/>
                <w:szCs w:val="20"/>
                <w:lang w:val="en-US"/>
              </w:rPr>
              <w:t>47</w:t>
            </w:r>
          </w:p>
        </w:tc>
        <w:tc>
          <w:tcPr>
            <w:tcW w:w="1134" w:type="dxa"/>
            <w:tcBorders>
              <w:top w:val="single" w:sz="4" w:space="0" w:color="auto"/>
              <w:bottom w:val="single" w:sz="4" w:space="0" w:color="auto"/>
            </w:tcBorders>
          </w:tcPr>
          <w:p w:rsidR="001C12BE" w:rsidRPr="001C12BE" w:rsidRDefault="001C12BE" w:rsidP="001C12BE">
            <w:pPr>
              <w:ind w:left="709" w:hanging="709"/>
              <w:jc w:val="center"/>
              <w:rPr>
                <w:rFonts w:eastAsia="Calibri"/>
                <w:b/>
                <w:sz w:val="20"/>
                <w:szCs w:val="20"/>
                <w:lang w:val="en-US"/>
              </w:rPr>
            </w:pPr>
            <w:r w:rsidRPr="001C12BE">
              <w:rPr>
                <w:rFonts w:eastAsia="Calibri"/>
                <w:b/>
                <w:sz w:val="20"/>
                <w:szCs w:val="20"/>
                <w:lang w:val="en-US"/>
              </w:rPr>
              <w:t>100</w:t>
            </w:r>
          </w:p>
        </w:tc>
      </w:tr>
    </w:tbl>
    <w:p w:rsidR="001C12BE" w:rsidRPr="001C12BE" w:rsidRDefault="001C12BE" w:rsidP="001C12BE">
      <w:pPr>
        <w:widowControl/>
        <w:autoSpaceDE/>
        <w:autoSpaceDN/>
        <w:ind w:left="709" w:hanging="709"/>
        <w:jc w:val="both"/>
        <w:rPr>
          <w:rFonts w:eastAsia="Calibri"/>
          <w:lang w:val="en-US"/>
        </w:rPr>
      </w:pPr>
      <w:r w:rsidRPr="001C12BE">
        <w:rPr>
          <w:rFonts w:eastAsia="Calibri"/>
          <w:lang w:val="en-US"/>
        </w:rPr>
        <w:t>Data Primer</w:t>
      </w:r>
    </w:p>
    <w:p w:rsidR="001C12BE" w:rsidRPr="001C12BE" w:rsidRDefault="001C12BE" w:rsidP="001C12BE">
      <w:pPr>
        <w:widowControl/>
        <w:autoSpaceDE/>
        <w:autoSpaceDN/>
        <w:ind w:left="709" w:hanging="709"/>
        <w:jc w:val="both"/>
        <w:rPr>
          <w:rFonts w:eastAsia="Calibri"/>
          <w:lang w:val="en-US"/>
        </w:rPr>
      </w:pPr>
    </w:p>
    <w:p w:rsidR="001C12BE" w:rsidRPr="001C12BE" w:rsidRDefault="001C12BE" w:rsidP="00163249">
      <w:pPr>
        <w:widowControl/>
        <w:autoSpaceDE/>
        <w:autoSpaceDN/>
        <w:spacing w:line="360" w:lineRule="auto"/>
        <w:ind w:left="709" w:hanging="709"/>
        <w:jc w:val="both"/>
        <w:rPr>
          <w:rFonts w:eastAsia="Calibri"/>
          <w:sz w:val="24"/>
          <w:szCs w:val="24"/>
          <w:lang w:val="id-ID"/>
        </w:rPr>
      </w:pPr>
      <w:r w:rsidRPr="001C12BE">
        <w:rPr>
          <w:rFonts w:eastAsia="Calibri"/>
          <w:sz w:val="24"/>
          <w:szCs w:val="24"/>
          <w:lang w:val="fil-PH"/>
        </w:rPr>
        <w:t xml:space="preserve">Tabel 7. </w:t>
      </w:r>
      <w:r w:rsidRPr="001C12BE">
        <w:rPr>
          <w:rFonts w:eastAsia="Calibri"/>
          <w:sz w:val="24"/>
          <w:szCs w:val="24"/>
          <w:lang w:val="id-ID"/>
        </w:rPr>
        <w:t xml:space="preserve">Distribusi frekuensi </w:t>
      </w:r>
      <w:r w:rsidRPr="001C12BE">
        <w:rPr>
          <w:rFonts w:eastAsia="Calibri"/>
          <w:sz w:val="24"/>
          <w:szCs w:val="24"/>
          <w:lang w:val="en-US"/>
        </w:rPr>
        <w:t xml:space="preserve">responden berdasarkan hasi Pemeriksaan Kadar Hemoglobin (Hb) pada Calon pengantin wanita di wilayah KUA Kaliwates </w:t>
      </w:r>
    </w:p>
    <w:tbl>
      <w:tblPr>
        <w:tblStyle w:val="TableGrid"/>
        <w:tblW w:w="425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333"/>
        <w:gridCol w:w="1072"/>
        <w:gridCol w:w="1338"/>
      </w:tblGrid>
      <w:tr w:rsidR="001C12BE" w:rsidRPr="001C12BE" w:rsidTr="00B768BE">
        <w:trPr>
          <w:trHeight w:val="311"/>
          <w:jc w:val="center"/>
        </w:trPr>
        <w:tc>
          <w:tcPr>
            <w:tcW w:w="510" w:type="dxa"/>
            <w:tcBorders>
              <w:top w:val="single" w:sz="4" w:space="0" w:color="auto"/>
              <w:bottom w:val="single" w:sz="4" w:space="0" w:color="auto"/>
            </w:tcBorders>
          </w:tcPr>
          <w:p w:rsidR="001C12BE" w:rsidRPr="001C12BE" w:rsidRDefault="001C12BE" w:rsidP="001C12BE">
            <w:pPr>
              <w:ind w:left="709" w:hanging="709"/>
              <w:jc w:val="both"/>
              <w:rPr>
                <w:rFonts w:eastAsia="Calibri"/>
                <w:b/>
                <w:sz w:val="20"/>
                <w:szCs w:val="20"/>
                <w:lang w:val="en-ID"/>
              </w:rPr>
            </w:pPr>
            <w:r w:rsidRPr="001C12BE">
              <w:rPr>
                <w:rFonts w:eastAsia="Calibri"/>
                <w:b/>
                <w:sz w:val="20"/>
                <w:szCs w:val="20"/>
                <w:lang w:val="en-ID"/>
              </w:rPr>
              <w:t xml:space="preserve">No </w:t>
            </w:r>
          </w:p>
        </w:tc>
        <w:tc>
          <w:tcPr>
            <w:tcW w:w="1333" w:type="dxa"/>
            <w:tcBorders>
              <w:top w:val="single" w:sz="4" w:space="0" w:color="auto"/>
              <w:bottom w:val="single" w:sz="4" w:space="0" w:color="auto"/>
            </w:tcBorders>
          </w:tcPr>
          <w:p w:rsidR="001C12BE" w:rsidRPr="001C12BE" w:rsidRDefault="001C12BE" w:rsidP="001C12BE">
            <w:pPr>
              <w:ind w:left="91" w:hanging="91"/>
              <w:jc w:val="both"/>
              <w:rPr>
                <w:rFonts w:eastAsia="Calibri"/>
                <w:b/>
                <w:sz w:val="20"/>
                <w:szCs w:val="20"/>
                <w:lang w:val="en-ID"/>
              </w:rPr>
            </w:pPr>
            <w:r w:rsidRPr="001C12BE">
              <w:rPr>
                <w:rFonts w:eastAsia="Calibri"/>
                <w:b/>
                <w:sz w:val="20"/>
                <w:szCs w:val="20"/>
                <w:lang w:val="en-ID"/>
              </w:rPr>
              <w:t>Kadar Hb</w:t>
            </w:r>
          </w:p>
        </w:tc>
        <w:tc>
          <w:tcPr>
            <w:tcW w:w="1072" w:type="dxa"/>
            <w:tcBorders>
              <w:top w:val="single" w:sz="4" w:space="0" w:color="auto"/>
              <w:bottom w:val="single" w:sz="4" w:space="0" w:color="auto"/>
            </w:tcBorders>
          </w:tcPr>
          <w:p w:rsidR="001C12BE" w:rsidRPr="001C12BE" w:rsidRDefault="001C12BE" w:rsidP="001C12BE">
            <w:pPr>
              <w:jc w:val="center"/>
              <w:rPr>
                <w:rFonts w:eastAsia="Calibri"/>
                <w:b/>
                <w:sz w:val="20"/>
                <w:szCs w:val="20"/>
                <w:lang w:val="en-ID"/>
              </w:rPr>
            </w:pPr>
            <w:r w:rsidRPr="001C12BE">
              <w:rPr>
                <w:rFonts w:eastAsia="Calibri"/>
                <w:b/>
                <w:sz w:val="20"/>
                <w:szCs w:val="20"/>
                <w:lang w:val="en-ID"/>
              </w:rPr>
              <w:t>Frekuensi (f)</w:t>
            </w:r>
          </w:p>
        </w:tc>
        <w:tc>
          <w:tcPr>
            <w:tcW w:w="1338" w:type="dxa"/>
            <w:tcBorders>
              <w:top w:val="single" w:sz="4" w:space="0" w:color="auto"/>
              <w:bottom w:val="single" w:sz="4" w:space="0" w:color="auto"/>
            </w:tcBorders>
          </w:tcPr>
          <w:p w:rsidR="001C12BE" w:rsidRPr="001C12BE" w:rsidRDefault="001C12BE" w:rsidP="001C12BE">
            <w:pPr>
              <w:jc w:val="center"/>
              <w:rPr>
                <w:rFonts w:eastAsia="Calibri"/>
                <w:b/>
                <w:sz w:val="20"/>
                <w:szCs w:val="20"/>
                <w:lang w:val="en-ID"/>
              </w:rPr>
            </w:pPr>
            <w:r w:rsidRPr="001C12BE">
              <w:rPr>
                <w:rFonts w:eastAsia="Calibri"/>
                <w:b/>
                <w:sz w:val="20"/>
                <w:szCs w:val="20"/>
                <w:lang w:val="en-ID"/>
              </w:rPr>
              <w:t>Persentasi (%)</w:t>
            </w:r>
          </w:p>
        </w:tc>
      </w:tr>
      <w:tr w:rsidR="001C12BE" w:rsidRPr="001C12BE" w:rsidTr="00B768BE">
        <w:trPr>
          <w:trHeight w:val="256"/>
          <w:jc w:val="center"/>
        </w:trPr>
        <w:tc>
          <w:tcPr>
            <w:tcW w:w="510" w:type="dxa"/>
            <w:tcBorders>
              <w:top w:val="single" w:sz="4" w:space="0" w:color="auto"/>
            </w:tcBorders>
          </w:tcPr>
          <w:p w:rsidR="001C12BE" w:rsidRPr="001C12BE" w:rsidRDefault="001C12BE" w:rsidP="001C12BE">
            <w:pPr>
              <w:ind w:left="709" w:hanging="709"/>
              <w:jc w:val="both"/>
              <w:rPr>
                <w:rFonts w:eastAsia="Calibri"/>
                <w:sz w:val="20"/>
                <w:szCs w:val="20"/>
                <w:lang w:val="en-ID"/>
              </w:rPr>
            </w:pPr>
            <w:r w:rsidRPr="001C12BE">
              <w:rPr>
                <w:rFonts w:eastAsia="Calibri"/>
                <w:sz w:val="20"/>
                <w:szCs w:val="20"/>
                <w:lang w:val="en-ID"/>
              </w:rPr>
              <w:t>1</w:t>
            </w:r>
          </w:p>
        </w:tc>
        <w:tc>
          <w:tcPr>
            <w:tcW w:w="1333" w:type="dxa"/>
            <w:tcBorders>
              <w:top w:val="single" w:sz="4" w:space="0" w:color="auto"/>
            </w:tcBorders>
            <w:vAlign w:val="bottom"/>
          </w:tcPr>
          <w:p w:rsidR="001C12BE" w:rsidRPr="001C12BE" w:rsidRDefault="001C12BE" w:rsidP="001C12BE">
            <w:pPr>
              <w:ind w:left="709" w:hanging="709"/>
              <w:jc w:val="both"/>
              <w:rPr>
                <w:rFonts w:eastAsia="Calibri"/>
                <w:sz w:val="20"/>
                <w:szCs w:val="20"/>
                <w:lang w:val="en-ID"/>
              </w:rPr>
            </w:pPr>
            <w:r w:rsidRPr="001C12BE">
              <w:rPr>
                <w:rFonts w:eastAsia="Calibri"/>
                <w:sz w:val="20"/>
                <w:szCs w:val="20"/>
                <w:lang w:val="en-US"/>
              </w:rPr>
              <w:t>NORMAL</w:t>
            </w:r>
          </w:p>
        </w:tc>
        <w:tc>
          <w:tcPr>
            <w:tcW w:w="1072" w:type="dxa"/>
            <w:tcBorders>
              <w:top w:val="single" w:sz="4" w:space="0" w:color="auto"/>
            </w:tcBorders>
            <w:vAlign w:val="bottom"/>
          </w:tcPr>
          <w:p w:rsidR="001C12BE" w:rsidRPr="001C12BE" w:rsidRDefault="001C12BE" w:rsidP="001C12BE">
            <w:pPr>
              <w:jc w:val="center"/>
              <w:rPr>
                <w:rFonts w:eastAsia="Calibri"/>
                <w:sz w:val="20"/>
                <w:szCs w:val="20"/>
                <w:lang w:val="en-ID"/>
              </w:rPr>
            </w:pPr>
            <w:r w:rsidRPr="001C12BE">
              <w:rPr>
                <w:rFonts w:eastAsia="Calibri"/>
                <w:sz w:val="20"/>
                <w:szCs w:val="20"/>
                <w:lang w:val="en-US"/>
              </w:rPr>
              <w:t>46</w:t>
            </w:r>
          </w:p>
        </w:tc>
        <w:tc>
          <w:tcPr>
            <w:tcW w:w="1338" w:type="dxa"/>
            <w:tcBorders>
              <w:top w:val="single" w:sz="4" w:space="0" w:color="auto"/>
            </w:tcBorders>
            <w:vAlign w:val="bottom"/>
          </w:tcPr>
          <w:p w:rsidR="001C12BE" w:rsidRPr="001C12BE" w:rsidRDefault="001C12BE" w:rsidP="001C12BE">
            <w:pPr>
              <w:ind w:left="709" w:hanging="709"/>
              <w:jc w:val="center"/>
              <w:rPr>
                <w:rFonts w:eastAsia="Calibri"/>
                <w:sz w:val="20"/>
                <w:szCs w:val="20"/>
                <w:lang w:val="en-ID"/>
              </w:rPr>
            </w:pPr>
            <w:r w:rsidRPr="001C12BE">
              <w:rPr>
                <w:rFonts w:eastAsia="Calibri"/>
                <w:sz w:val="20"/>
                <w:szCs w:val="20"/>
                <w:lang w:val="en-US"/>
              </w:rPr>
              <w:t>97.9</w:t>
            </w:r>
          </w:p>
        </w:tc>
      </w:tr>
      <w:tr w:rsidR="001C12BE" w:rsidRPr="001C12BE" w:rsidTr="00B768BE">
        <w:trPr>
          <w:trHeight w:val="256"/>
          <w:jc w:val="center"/>
        </w:trPr>
        <w:tc>
          <w:tcPr>
            <w:tcW w:w="510" w:type="dxa"/>
          </w:tcPr>
          <w:p w:rsidR="001C12BE" w:rsidRPr="001C12BE" w:rsidRDefault="001C12BE" w:rsidP="001C12BE">
            <w:pPr>
              <w:ind w:left="709" w:hanging="709"/>
              <w:jc w:val="both"/>
              <w:rPr>
                <w:rFonts w:eastAsia="Calibri"/>
                <w:sz w:val="20"/>
                <w:szCs w:val="20"/>
                <w:lang w:val="en-ID"/>
              </w:rPr>
            </w:pPr>
            <w:r w:rsidRPr="001C12BE">
              <w:rPr>
                <w:rFonts w:eastAsia="Calibri"/>
                <w:sz w:val="20"/>
                <w:szCs w:val="20"/>
                <w:lang w:val="en-ID"/>
              </w:rPr>
              <w:t>2</w:t>
            </w:r>
          </w:p>
        </w:tc>
        <w:tc>
          <w:tcPr>
            <w:tcW w:w="1333" w:type="dxa"/>
            <w:vAlign w:val="bottom"/>
          </w:tcPr>
          <w:p w:rsidR="001C12BE" w:rsidRPr="001C12BE" w:rsidRDefault="001C12BE" w:rsidP="001C12BE">
            <w:pPr>
              <w:jc w:val="both"/>
              <w:rPr>
                <w:rFonts w:eastAsia="Calibri"/>
                <w:sz w:val="20"/>
                <w:szCs w:val="20"/>
                <w:lang w:val="en-ID"/>
              </w:rPr>
            </w:pPr>
            <w:r w:rsidRPr="001C12BE">
              <w:rPr>
                <w:rFonts w:eastAsia="Calibri"/>
                <w:sz w:val="20"/>
                <w:szCs w:val="20"/>
                <w:lang w:val="en-US"/>
              </w:rPr>
              <w:t xml:space="preserve">RINGAN </w:t>
            </w:r>
          </w:p>
        </w:tc>
        <w:tc>
          <w:tcPr>
            <w:tcW w:w="1072" w:type="dxa"/>
            <w:vAlign w:val="bottom"/>
          </w:tcPr>
          <w:p w:rsidR="001C12BE" w:rsidRPr="001C12BE" w:rsidRDefault="001C12BE" w:rsidP="001C12BE">
            <w:pPr>
              <w:ind w:left="709" w:hanging="709"/>
              <w:jc w:val="center"/>
              <w:rPr>
                <w:rFonts w:eastAsia="Calibri"/>
                <w:sz w:val="20"/>
                <w:szCs w:val="20"/>
                <w:lang w:val="en-ID"/>
              </w:rPr>
            </w:pPr>
            <w:r w:rsidRPr="001C12BE">
              <w:rPr>
                <w:rFonts w:eastAsia="Calibri"/>
                <w:sz w:val="20"/>
                <w:szCs w:val="20"/>
                <w:lang w:val="en-US"/>
              </w:rPr>
              <w:t>1</w:t>
            </w:r>
          </w:p>
        </w:tc>
        <w:tc>
          <w:tcPr>
            <w:tcW w:w="1338" w:type="dxa"/>
            <w:vAlign w:val="bottom"/>
          </w:tcPr>
          <w:p w:rsidR="001C12BE" w:rsidRPr="001C12BE" w:rsidRDefault="001C12BE" w:rsidP="001C12BE">
            <w:pPr>
              <w:ind w:left="709" w:hanging="709"/>
              <w:jc w:val="center"/>
              <w:rPr>
                <w:rFonts w:eastAsia="Calibri"/>
                <w:sz w:val="20"/>
                <w:szCs w:val="20"/>
                <w:lang w:val="en-ID"/>
              </w:rPr>
            </w:pPr>
            <w:r w:rsidRPr="001C12BE">
              <w:rPr>
                <w:rFonts w:eastAsia="Calibri"/>
                <w:sz w:val="20"/>
                <w:szCs w:val="20"/>
                <w:lang w:val="en-US"/>
              </w:rPr>
              <w:t>2.1</w:t>
            </w:r>
          </w:p>
        </w:tc>
      </w:tr>
      <w:tr w:rsidR="001C12BE" w:rsidRPr="001C12BE" w:rsidTr="00B768BE">
        <w:trPr>
          <w:trHeight w:val="256"/>
          <w:jc w:val="center"/>
        </w:trPr>
        <w:tc>
          <w:tcPr>
            <w:tcW w:w="510" w:type="dxa"/>
          </w:tcPr>
          <w:p w:rsidR="001C12BE" w:rsidRPr="001C12BE" w:rsidRDefault="001C12BE" w:rsidP="001C12BE">
            <w:pPr>
              <w:ind w:left="709" w:hanging="709"/>
              <w:jc w:val="both"/>
              <w:rPr>
                <w:rFonts w:eastAsia="Calibri"/>
                <w:sz w:val="20"/>
                <w:szCs w:val="20"/>
                <w:lang w:val="en-ID"/>
              </w:rPr>
            </w:pPr>
            <w:r w:rsidRPr="001C12BE">
              <w:rPr>
                <w:rFonts w:eastAsia="Calibri"/>
                <w:sz w:val="20"/>
                <w:szCs w:val="20"/>
                <w:lang w:val="en-ID"/>
              </w:rPr>
              <w:t>3</w:t>
            </w:r>
          </w:p>
        </w:tc>
        <w:tc>
          <w:tcPr>
            <w:tcW w:w="1333" w:type="dxa"/>
            <w:vAlign w:val="bottom"/>
          </w:tcPr>
          <w:p w:rsidR="001C12BE" w:rsidRPr="001C12BE" w:rsidRDefault="001C12BE" w:rsidP="001C12BE">
            <w:pPr>
              <w:ind w:left="709" w:hanging="709"/>
              <w:jc w:val="both"/>
              <w:rPr>
                <w:rFonts w:eastAsia="Calibri"/>
                <w:sz w:val="20"/>
                <w:szCs w:val="20"/>
                <w:lang w:val="en-ID"/>
              </w:rPr>
            </w:pPr>
            <w:r w:rsidRPr="001C12BE">
              <w:rPr>
                <w:rFonts w:eastAsia="Calibri"/>
                <w:sz w:val="20"/>
                <w:szCs w:val="20"/>
                <w:lang w:val="en-US"/>
              </w:rPr>
              <w:t xml:space="preserve">SEDANG </w:t>
            </w:r>
          </w:p>
        </w:tc>
        <w:tc>
          <w:tcPr>
            <w:tcW w:w="1072" w:type="dxa"/>
            <w:vAlign w:val="bottom"/>
          </w:tcPr>
          <w:p w:rsidR="001C12BE" w:rsidRPr="001C12BE" w:rsidRDefault="001C12BE" w:rsidP="001C12BE">
            <w:pPr>
              <w:ind w:left="709" w:hanging="709"/>
              <w:jc w:val="center"/>
              <w:rPr>
                <w:rFonts w:eastAsia="Calibri"/>
                <w:sz w:val="20"/>
                <w:szCs w:val="20"/>
                <w:lang w:val="en-ID"/>
              </w:rPr>
            </w:pPr>
            <w:r w:rsidRPr="001C12BE">
              <w:rPr>
                <w:rFonts w:eastAsia="Calibri"/>
                <w:sz w:val="20"/>
                <w:szCs w:val="20"/>
                <w:lang w:val="en-US"/>
              </w:rPr>
              <w:t>0</w:t>
            </w:r>
          </w:p>
        </w:tc>
        <w:tc>
          <w:tcPr>
            <w:tcW w:w="1338" w:type="dxa"/>
            <w:vAlign w:val="bottom"/>
          </w:tcPr>
          <w:p w:rsidR="001C12BE" w:rsidRPr="001C12BE" w:rsidRDefault="001C12BE" w:rsidP="001C12BE">
            <w:pPr>
              <w:ind w:left="709" w:hanging="709"/>
              <w:jc w:val="center"/>
              <w:rPr>
                <w:rFonts w:eastAsia="Calibri"/>
                <w:sz w:val="20"/>
                <w:szCs w:val="20"/>
                <w:lang w:val="en-ID"/>
              </w:rPr>
            </w:pPr>
            <w:r w:rsidRPr="001C12BE">
              <w:rPr>
                <w:rFonts w:eastAsia="Calibri"/>
                <w:sz w:val="20"/>
                <w:szCs w:val="20"/>
                <w:lang w:val="en-US"/>
              </w:rPr>
              <w:t>0.0</w:t>
            </w:r>
          </w:p>
        </w:tc>
      </w:tr>
      <w:tr w:rsidR="001C12BE" w:rsidRPr="001C12BE" w:rsidTr="00B768BE">
        <w:trPr>
          <w:trHeight w:val="256"/>
          <w:jc w:val="center"/>
        </w:trPr>
        <w:tc>
          <w:tcPr>
            <w:tcW w:w="510" w:type="dxa"/>
          </w:tcPr>
          <w:p w:rsidR="001C12BE" w:rsidRPr="001C12BE" w:rsidRDefault="001C12BE" w:rsidP="001C12BE">
            <w:pPr>
              <w:ind w:left="709" w:hanging="709"/>
              <w:jc w:val="both"/>
              <w:rPr>
                <w:rFonts w:eastAsia="Calibri"/>
                <w:sz w:val="20"/>
                <w:szCs w:val="20"/>
                <w:lang w:val="en-ID"/>
              </w:rPr>
            </w:pPr>
            <w:r w:rsidRPr="001C12BE">
              <w:rPr>
                <w:rFonts w:eastAsia="Calibri"/>
                <w:sz w:val="20"/>
                <w:szCs w:val="20"/>
                <w:lang w:val="en-ID"/>
              </w:rPr>
              <w:t>4</w:t>
            </w:r>
          </w:p>
        </w:tc>
        <w:tc>
          <w:tcPr>
            <w:tcW w:w="1333" w:type="dxa"/>
            <w:vAlign w:val="bottom"/>
          </w:tcPr>
          <w:p w:rsidR="001C12BE" w:rsidRPr="001C12BE" w:rsidRDefault="001C12BE" w:rsidP="001C12BE">
            <w:pPr>
              <w:ind w:left="709" w:hanging="709"/>
              <w:jc w:val="both"/>
              <w:rPr>
                <w:rFonts w:eastAsia="Calibri"/>
                <w:sz w:val="20"/>
                <w:szCs w:val="20"/>
                <w:lang w:val="en-ID"/>
              </w:rPr>
            </w:pPr>
            <w:r w:rsidRPr="001C12BE">
              <w:rPr>
                <w:rFonts w:eastAsia="Calibri"/>
                <w:sz w:val="20"/>
                <w:szCs w:val="20"/>
                <w:lang w:val="en-US"/>
              </w:rPr>
              <w:t>BERAT</w:t>
            </w:r>
          </w:p>
        </w:tc>
        <w:tc>
          <w:tcPr>
            <w:tcW w:w="1072" w:type="dxa"/>
            <w:vAlign w:val="bottom"/>
          </w:tcPr>
          <w:p w:rsidR="001C12BE" w:rsidRPr="001C12BE" w:rsidRDefault="001C12BE" w:rsidP="001C12BE">
            <w:pPr>
              <w:ind w:left="709" w:hanging="709"/>
              <w:jc w:val="center"/>
              <w:rPr>
                <w:rFonts w:eastAsia="Calibri"/>
                <w:sz w:val="20"/>
                <w:szCs w:val="20"/>
                <w:lang w:val="en-ID"/>
              </w:rPr>
            </w:pPr>
            <w:r w:rsidRPr="001C12BE">
              <w:rPr>
                <w:rFonts w:eastAsia="Calibri"/>
                <w:sz w:val="20"/>
                <w:szCs w:val="20"/>
                <w:lang w:val="en-US"/>
              </w:rPr>
              <w:t>0</w:t>
            </w:r>
          </w:p>
        </w:tc>
        <w:tc>
          <w:tcPr>
            <w:tcW w:w="1338" w:type="dxa"/>
            <w:vAlign w:val="bottom"/>
          </w:tcPr>
          <w:p w:rsidR="001C12BE" w:rsidRPr="001C12BE" w:rsidRDefault="001C12BE" w:rsidP="001C12BE">
            <w:pPr>
              <w:ind w:left="709" w:hanging="709"/>
              <w:jc w:val="center"/>
              <w:rPr>
                <w:rFonts w:eastAsia="Calibri"/>
                <w:sz w:val="20"/>
                <w:szCs w:val="20"/>
                <w:lang w:val="en-ID"/>
              </w:rPr>
            </w:pPr>
            <w:r w:rsidRPr="001C12BE">
              <w:rPr>
                <w:rFonts w:eastAsia="Calibri"/>
                <w:sz w:val="20"/>
                <w:szCs w:val="20"/>
                <w:lang w:val="en-US"/>
              </w:rPr>
              <w:t>0.0</w:t>
            </w:r>
          </w:p>
        </w:tc>
      </w:tr>
      <w:tr w:rsidR="001C12BE" w:rsidRPr="001C12BE" w:rsidTr="00B768BE">
        <w:trPr>
          <w:trHeight w:val="256"/>
          <w:jc w:val="center"/>
        </w:trPr>
        <w:tc>
          <w:tcPr>
            <w:tcW w:w="510" w:type="dxa"/>
          </w:tcPr>
          <w:p w:rsidR="001C12BE" w:rsidRPr="001C12BE" w:rsidRDefault="001C12BE" w:rsidP="001C12BE">
            <w:pPr>
              <w:ind w:left="709" w:hanging="709"/>
              <w:jc w:val="both"/>
              <w:rPr>
                <w:rFonts w:eastAsia="Calibri"/>
                <w:b/>
                <w:sz w:val="20"/>
                <w:szCs w:val="20"/>
                <w:lang w:val="en-ID"/>
              </w:rPr>
            </w:pPr>
          </w:p>
        </w:tc>
        <w:tc>
          <w:tcPr>
            <w:tcW w:w="1333" w:type="dxa"/>
          </w:tcPr>
          <w:p w:rsidR="001C12BE" w:rsidRPr="001C12BE" w:rsidRDefault="001C12BE" w:rsidP="001C12BE">
            <w:pPr>
              <w:ind w:left="709" w:hanging="709"/>
              <w:jc w:val="both"/>
              <w:rPr>
                <w:rFonts w:eastAsia="Calibri"/>
                <w:b/>
                <w:sz w:val="20"/>
                <w:szCs w:val="20"/>
                <w:lang w:val="en-ID"/>
              </w:rPr>
            </w:pPr>
            <w:r w:rsidRPr="001C12BE">
              <w:rPr>
                <w:rFonts w:eastAsia="Calibri"/>
                <w:b/>
                <w:sz w:val="20"/>
                <w:szCs w:val="20"/>
                <w:lang w:val="en-ID"/>
              </w:rPr>
              <w:t xml:space="preserve">Total </w:t>
            </w:r>
          </w:p>
        </w:tc>
        <w:tc>
          <w:tcPr>
            <w:tcW w:w="1072" w:type="dxa"/>
          </w:tcPr>
          <w:p w:rsidR="001C12BE" w:rsidRPr="001C12BE" w:rsidRDefault="001C12BE" w:rsidP="001C12BE">
            <w:pPr>
              <w:ind w:left="709" w:hanging="709"/>
              <w:jc w:val="center"/>
              <w:rPr>
                <w:rFonts w:eastAsia="Calibri"/>
                <w:b/>
                <w:sz w:val="20"/>
                <w:szCs w:val="20"/>
                <w:lang w:val="en-ID"/>
              </w:rPr>
            </w:pPr>
            <w:r w:rsidRPr="001C12BE">
              <w:rPr>
                <w:rFonts w:eastAsia="Calibri"/>
                <w:b/>
                <w:sz w:val="20"/>
                <w:szCs w:val="20"/>
                <w:lang w:val="en-ID"/>
              </w:rPr>
              <w:t>47</w:t>
            </w:r>
          </w:p>
        </w:tc>
        <w:tc>
          <w:tcPr>
            <w:tcW w:w="1338" w:type="dxa"/>
          </w:tcPr>
          <w:p w:rsidR="001C12BE" w:rsidRPr="001C12BE" w:rsidRDefault="001C12BE" w:rsidP="001C12BE">
            <w:pPr>
              <w:ind w:left="709" w:hanging="709"/>
              <w:jc w:val="center"/>
              <w:rPr>
                <w:rFonts w:eastAsia="Calibri"/>
                <w:b/>
                <w:sz w:val="20"/>
                <w:szCs w:val="20"/>
                <w:lang w:val="en-ID"/>
              </w:rPr>
            </w:pPr>
            <w:r w:rsidRPr="001C12BE">
              <w:rPr>
                <w:rFonts w:eastAsia="Calibri"/>
                <w:b/>
                <w:sz w:val="20"/>
                <w:szCs w:val="20"/>
                <w:lang w:val="en-ID"/>
              </w:rPr>
              <w:t>100</w:t>
            </w:r>
          </w:p>
        </w:tc>
      </w:tr>
    </w:tbl>
    <w:p w:rsidR="001C12BE" w:rsidRPr="001C12BE" w:rsidRDefault="001C12BE" w:rsidP="001C12BE">
      <w:pPr>
        <w:widowControl/>
        <w:autoSpaceDE/>
        <w:autoSpaceDN/>
        <w:ind w:left="709" w:hanging="709"/>
        <w:jc w:val="both"/>
        <w:rPr>
          <w:rFonts w:eastAsia="Calibri"/>
          <w:lang w:val="en-US"/>
        </w:rPr>
      </w:pPr>
      <w:r w:rsidRPr="001C12BE">
        <w:rPr>
          <w:rFonts w:eastAsia="Calibri"/>
          <w:lang w:val="en-US"/>
        </w:rPr>
        <w:t>Data Primer</w:t>
      </w:r>
    </w:p>
    <w:p w:rsidR="001C12BE" w:rsidRPr="001C12BE" w:rsidRDefault="001C12BE" w:rsidP="001C12BE">
      <w:pPr>
        <w:widowControl/>
        <w:autoSpaceDE/>
        <w:autoSpaceDN/>
        <w:jc w:val="both"/>
        <w:rPr>
          <w:rFonts w:eastAsia="Calibri"/>
          <w:lang w:val="en-US"/>
        </w:rPr>
      </w:pPr>
    </w:p>
    <w:p w:rsidR="001C12BE" w:rsidRPr="001C12BE" w:rsidRDefault="00972965" w:rsidP="00163249">
      <w:pPr>
        <w:widowControl/>
        <w:autoSpaceDE/>
        <w:autoSpaceDN/>
        <w:spacing w:line="360" w:lineRule="auto"/>
        <w:jc w:val="both"/>
        <w:rPr>
          <w:rFonts w:eastAsia="Calibri"/>
          <w:b/>
          <w:sz w:val="24"/>
          <w:szCs w:val="24"/>
          <w:lang w:val="en-US"/>
        </w:rPr>
      </w:pPr>
      <w:r>
        <w:rPr>
          <w:rFonts w:eastAsia="Calibri"/>
          <w:b/>
          <w:sz w:val="24"/>
          <w:szCs w:val="24"/>
          <w:lang w:val="en-US"/>
        </w:rPr>
        <w:t>DISKUSI</w:t>
      </w:r>
    </w:p>
    <w:p w:rsidR="001C12BE" w:rsidRPr="001C12BE" w:rsidRDefault="001C12BE" w:rsidP="00163249">
      <w:pPr>
        <w:widowControl/>
        <w:autoSpaceDE/>
        <w:autoSpaceDN/>
        <w:spacing w:line="360" w:lineRule="auto"/>
        <w:ind w:firstLine="720"/>
        <w:jc w:val="both"/>
        <w:rPr>
          <w:rFonts w:eastAsia="Calibri"/>
          <w:sz w:val="24"/>
          <w:szCs w:val="24"/>
          <w:lang w:val="en-US"/>
        </w:rPr>
      </w:pPr>
      <w:r w:rsidRPr="001C12BE">
        <w:rPr>
          <w:rFonts w:eastAsia="Calibri"/>
          <w:sz w:val="24"/>
          <w:szCs w:val="24"/>
          <w:lang w:val="en-US"/>
        </w:rPr>
        <w:t xml:space="preserve">Berdasarkan hasil observasi yang dilakukan pada 47 responden calon pengantin wanita perihal hasil pemeriksaan yang sudah dilakukan menurut karakteristik responden berdasarkan tabel 1 usia reproduksi bahwa calon pengantin wanita </w:t>
      </w:r>
      <w:r w:rsidRPr="001C12BE">
        <w:rPr>
          <w:rFonts w:eastAsia="Calibri"/>
          <w:sz w:val="24"/>
          <w:szCs w:val="24"/>
          <w:lang w:val="fil-PH"/>
        </w:rPr>
        <w:t xml:space="preserve">diketahui sebagian besar responden berada pada usia reproduksi sejumlah 47 orang (100%). </w:t>
      </w:r>
      <w:r w:rsidRPr="001C12BE">
        <w:rPr>
          <w:rFonts w:eastAsia="Calibri"/>
          <w:sz w:val="24"/>
          <w:szCs w:val="24"/>
          <w:lang w:val="en-US"/>
        </w:rPr>
        <w:t xml:space="preserve">Usia reproduksi sehat untuk wanita adalah antara 20–30 tahun. Faktor yang mempengaruhinya ada bermacam-macam. Misalnya, sebelum wanita berusia 20 tahun secar fisik kondisi organ reproduksi seperti rahim belum cukup siap untuk memelihara hasil pembuahan dan pengembangan janin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approach.","author":[{"dropping-particle":"","family":"Rahayu","given":"Atikah","non-dropping-particle":"","parse-names":false,"suffix":""},{"dropping-particle":"","family":"Noor","given":"Meitria SYahadatinna","non-dropping-particle":"","parse-names":false,"suffix":""},{"dropping-particle":"","family":"Yulidasari","given":"Fahrini","non-dropping-particle":"","parse-names":false,"suffix":""},{"dropping-particle":"","family":"Rahman","given":"Fauzie","non-dropping-particle":"","parse-names":false,"suffix":""},{"dropping-particle":"","family":"Putri","given":"Andini Octaviana","non-dropping-particle":"","parse-names":false,"suffix":""}],"container-title":"Journal of Chemical Information and Modeling","id":"ITEM-1","issue":"9","issued":{"date-parts":[["2017"]]},"number-of-pages":"1689-1699","title":"Kesehatan Reproduksi Remaja &amp; Lansia","type":"book","volume":"53"},"uris":["http://www.mendeley.com/documents/?uuid=6f704d44-fe0a-40c9-b81b-d62641f334da"]}],"mendeley":{"formattedCitation":"(Rahayu &lt;i&gt;et al.&lt;/i&gt;, 2017)","plainTextFormattedCitation":"(Rahayu et al., 2017)","previouslyFormattedCitation":"(Rahayu &lt;i&gt;et al.&lt;/i&gt;, 2017)"},"properties":{"noteIndex":0},"schema":"https://github.com/citation-style-language/schema/raw/master/csl-citation.json"}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 xml:space="preserve">(Rahayu </w:t>
      </w:r>
      <w:r w:rsidRPr="001C12BE">
        <w:rPr>
          <w:rFonts w:eastAsia="Calibri"/>
          <w:i/>
          <w:noProof/>
          <w:sz w:val="24"/>
          <w:szCs w:val="24"/>
          <w:lang w:val="en-US"/>
        </w:rPr>
        <w:t>et al.</w:t>
      </w:r>
      <w:r w:rsidRPr="001C12BE">
        <w:rPr>
          <w:rFonts w:eastAsia="Calibri"/>
          <w:noProof/>
          <w:sz w:val="24"/>
          <w:szCs w:val="24"/>
          <w:lang w:val="en-US"/>
        </w:rPr>
        <w:t>, 2017)</w:t>
      </w:r>
      <w:r w:rsidRPr="001C12BE">
        <w:rPr>
          <w:rFonts w:eastAsia="Calibri"/>
          <w:sz w:val="24"/>
          <w:szCs w:val="24"/>
          <w:lang w:val="en-US"/>
        </w:rPr>
        <w:fldChar w:fldCharType="end"/>
      </w:r>
    </w:p>
    <w:p w:rsidR="001C12BE" w:rsidRPr="001C12BE" w:rsidRDefault="001C12BE" w:rsidP="00163249">
      <w:pPr>
        <w:widowControl/>
        <w:autoSpaceDE/>
        <w:autoSpaceDN/>
        <w:spacing w:line="360" w:lineRule="auto"/>
        <w:ind w:firstLine="720"/>
        <w:jc w:val="both"/>
        <w:rPr>
          <w:rFonts w:eastAsia="Calibri"/>
          <w:sz w:val="24"/>
          <w:szCs w:val="24"/>
          <w:lang w:val="en-US"/>
        </w:rPr>
      </w:pPr>
      <w:r w:rsidRPr="001C12BE">
        <w:rPr>
          <w:rFonts w:eastAsia="Calibri"/>
          <w:sz w:val="24"/>
          <w:szCs w:val="24"/>
          <w:lang w:val="en-ID"/>
        </w:rPr>
        <w:lastRenderedPageBreak/>
        <w:t xml:space="preserve">Dari hasil analisis tabel 2 </w:t>
      </w:r>
      <w:r w:rsidRPr="001C12BE">
        <w:rPr>
          <w:rFonts w:eastAsia="Calibri"/>
          <w:sz w:val="24"/>
          <w:szCs w:val="24"/>
          <w:lang w:val="fil-PH"/>
        </w:rPr>
        <w:t xml:space="preserve">diketahui bahwa sebagian besar status pendidikan responden dikategorikan sebesar besar 20 orang (40,8 %) berpendidikan SMA. </w:t>
      </w:r>
      <w:r w:rsidRPr="001C12BE">
        <w:rPr>
          <w:rFonts w:eastAsia="Calibri"/>
          <w:sz w:val="24"/>
          <w:szCs w:val="24"/>
          <w:lang w:val="en-US"/>
        </w:rPr>
        <w:t xml:space="preserve">Tingkat pendidikan sesorang mempengaruhi perilaku dan dapat menghasilkan banyak perubahan, khususnya pengetahuan dibidang kesehatan. Semakin tinggi tingkat pendidikan maka semakin  tinggi pula kemampuan seseorang dalam menjaga pola hidupnya agar tetap sehat dan terhindar dari berbagai penyakit, status kesehatan ibu, janin yang di kandung dan kualitas bayi yan dilahirkan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{"citationItems":[{"id":"ITEM-1","itemData":{"DOI":"10.1556/ism.v8i3.135","abstract":"Kanker payudara merupakan salah satu tumor ganas yang menjadi penyebab utama morbiditas dan mortalitas wanita di seluruh dunia. Payudara Sendiri (SADARI) merupakan deteksi dini berperan penting untuk memperbaiki prognosis disamping faktor klinis lainnya dari kanker payudara. Penelitian ini merupakan penelitian deskriptif cross sectional. Tempat pengambilan sampel dipilih secara acak yaitu SMA PGRI Blahbatuh dan sampel yang diperoleh sebanyak 50 orang yang dipilih kembali secara acak. Instrumen yang digunakan adalah kuisioner yang diadaptasi dari berbagai kuisioner pada penelitian sejenis. Teknik analisis data dengan analisis univariat dan bivariat. Dari hasil penelitian diperoleh tidak ada remaja putri di Wilayah Kerja UPT Kesmas Blahbatuh II memiliki tingkat pengetahuan (0%) dan perilaku (0%) SADARI yang baik, mayoritas memiliki tingkat pengetahuan (88%) dan perilaku (98%) SADARI yang kurang. Selain itu terdapat kecenderungan bahwa 100% remaja yang memiliki tingkat pengetahuan SADARI yang kurang memiliki perilaku SADARI yang kurang. 89.7% responden yang memiliki usia ≤16 tahun cenderung memiliki tingkat pengetahuan SADARI kurang dan 96.6% cenderung memiliki perilaku kurang. Rendahnya tingkat pengetahuan dan perilaku remaja tersebut diharapkan adanya peran Puskesmas untuk memberikan penyuluhan tentang kanker payudara dan SADARI kepada remaja dan masyarakat wanita di wilayah kerja Puskesmas","author":[{"dropping-particle":"","family":"Singam","given":"Keren Karunya","non-dropping-particle":"","parse-names":false,"suffix":""},{"dropping-particle":"","family":"Wirakusuma","given":"I B","non-dropping-particle":"","parse-names":false,"suffix":""}],"id":"ITEM-1","issue":"3","issued":{"date-parts":[["2019"]]},"page":"184-188","title":"Gambaran tingkat pengetahuan dan perilaku tentang kesehatan","type":"article-journal","volume":"8"},"uris":["http://www.mendeley.com/documents/?uuid=e266f415-aa16-43c1-a63e-3eb7b76fcad4"]},{"id":"ITEM-2","itemData":{"DOI":"10.35816/jiskh.v11i1.742","ISSN":"2354-6093","abstract":"Pendahuluan: Upaya pencegahan stunting secara dini harus dilakukan untuk memutus mata rantai penyebaran stunting. \r Tujuan: mengetahui apakah ada pengaruh pengetahuan calon pengantin sebelum dan setelah diberikan pendidikan gizi 1000 HPK melalui media presentasi dan booklet. \r Metode: Desain Pra Experiment dimana tidak terdapat pengontrolan variable. Penelitian ini menggunakan non-randomized one group pre-post test design, responden berjumlah 26 orang dengan latar pendidikan yang beragam. \r Hasil: Uji statistik menunjukkan bahwa ada pengaruh yang signifikan (p-value 0.000) pemberian pendidikan gizi 1000 HPK dengan media presentasi dan booklet kepada calon pengantin perempuan sebelum dan setelah diberi perlakuan. \r Kesimpulan: Bahwa setelah diberikan pendidikan kesehatan, rerata pengetahuan calon pengantin meningkat lebih dari 50% dibandingkan rerata sebelum diberikan pendidikan gizi 1000 HPK.","author":[{"dropping-particle":"","family":"Arsyad","given":"Jihan Fadhilah","non-dropping-particle":"","parse-names":false,"suffix":""},{"dropping-particle":"","family":"Setiawaty","given":"Yuli","non-dropping-particle":"","parse-names":false,"suffix":""},{"dropping-particle":"","family":"Yusnidar","given":"Yusnidar","non-dropping-particle":"","parse-names":false,"suffix":""}],"container-title":"Jurnal Ilmiah Kesehatan Sandi Husada","id":"ITEM-2","issue":"1","issued":{"date-parts":[["2022"]]},"page":"282-287","title":"Pengaruh Pengetahuan Calon Pengantin Sebelum dan Setelah diberikan Pendidikan Gizi 1000 HPK Melalui Media Presentasi dan Booklet","type":"article-journal","volume":"11"},"uris":["http://www.mendeley.com/documents/?uuid=a17ac0d7-428c-4564-9cc9-2be41b296f88"]}],"mendeley":{"formattedCitation":"(Singam and Wirakusuma, 2019; Arsyad, Setiawaty and Yusnidar, 2022)","plainTextFormattedCitation":"(Singam and Wirakusuma, 2019; Arsyad, Setiawaty and Yusnidar, 2022)"},"properties":{"noteIndex":0},"schema":"https://github.com/citation-style-language/schema/raw/master/csl-citation.json"}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(Singam and Wirakusuma, 2019; Arsyad, Setiawaty and Yusnidar, 2022)</w:t>
      </w:r>
      <w:r w:rsidRPr="001C12BE">
        <w:rPr>
          <w:rFonts w:eastAsia="Calibri"/>
          <w:sz w:val="24"/>
          <w:szCs w:val="24"/>
          <w:lang w:val="en-US"/>
        </w:rPr>
        <w:fldChar w:fldCharType="end"/>
      </w:r>
    </w:p>
    <w:p w:rsidR="001C12BE" w:rsidRPr="001C12BE" w:rsidRDefault="001C12BE" w:rsidP="00163249">
      <w:pPr>
        <w:widowControl/>
        <w:autoSpaceDE/>
        <w:autoSpaceDN/>
        <w:spacing w:line="360" w:lineRule="auto"/>
        <w:ind w:firstLine="720"/>
        <w:jc w:val="both"/>
        <w:rPr>
          <w:rFonts w:eastAsia="Calibri"/>
          <w:sz w:val="24"/>
          <w:szCs w:val="24"/>
          <w:lang w:val="en-US"/>
        </w:rPr>
      </w:pPr>
      <w:r w:rsidRPr="001C12BE">
        <w:rPr>
          <w:rFonts w:eastAsia="Calibri"/>
          <w:sz w:val="24"/>
          <w:szCs w:val="24"/>
          <w:lang w:val="en-US"/>
        </w:rPr>
        <w:t xml:space="preserve">Dari hasil pemeriksaan Indeks Masa Tubuh (IMT) dari tabel 3 pada calon pengantin wanita di Kantor urusan Agama kaliwates </w:t>
      </w:r>
      <w:r w:rsidRPr="001C12BE">
        <w:rPr>
          <w:rFonts w:eastAsia="Calibri"/>
          <w:sz w:val="24"/>
          <w:szCs w:val="24"/>
          <w:lang w:val="fil-PH"/>
        </w:rPr>
        <w:t>diketahui bahwa sebagian besar status gizi calon pengantin wanita menurut perhitungan IMT dikategorikan sebagian sebesar 30 orang (</w:t>
      </w:r>
      <w:r w:rsidRPr="001C12BE">
        <w:rPr>
          <w:rFonts w:eastAsia="Calibri"/>
          <w:sz w:val="24"/>
          <w:szCs w:val="24"/>
          <w:lang w:val="en-ID"/>
        </w:rPr>
        <w:t>63.8 %</w:t>
      </w:r>
      <w:r w:rsidRPr="001C12BE">
        <w:rPr>
          <w:rFonts w:eastAsia="Calibri"/>
          <w:sz w:val="24"/>
          <w:szCs w:val="24"/>
          <w:lang w:val="en-US"/>
        </w:rPr>
        <w:t xml:space="preserve">) berstatus gizi normal dan masih ada 10 % calon pengantin wanita dengan status gizi kurang. Pada calon pengantin pengukuran status gizi dengan indicator IMT merupakan ukuran keberhasilan dalam pemenuhan gizi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{"citationItems":[{"id":"ITEM-1","itemData":{"author":[{"dropping-particle":"","family":"Casafranca Loayza","given":"Yemira","non-dropping-particle":"","parse-names":false,"suffix":""}],"id":"ITEM-1","issue":"November","issued":{"date-parts":[["2018"]]},"page":"1-26","title":"Analisis Pengetahuan Gizi calon Pengantin Pra Nikah","type":"article-journal"},"uris":["http://www.mendeley.com/documents/?uuid=d6881417-cc68-48c2-b06c-78547f16da97"]}],"mendeley":{"formattedCitation":"(Casafranca Loayza, 2018)","plainTextFormattedCitation":"(Casafranca Loayza, 2018)","previouslyFormattedCitation":"(Casafranca Loayza, 2018)"},"properties":{"noteIndex":0},"schema":"https://github.com/citation-style-language/schema/raw/master/csl-citation.json"}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(Casafranca Loayza, 2018)</w:t>
      </w:r>
      <w:r w:rsidRPr="001C12BE">
        <w:rPr>
          <w:rFonts w:eastAsia="Calibri"/>
          <w:sz w:val="24"/>
          <w:szCs w:val="24"/>
          <w:lang w:val="en-US"/>
        </w:rPr>
        <w:fldChar w:fldCharType="end"/>
      </w:r>
      <w:r w:rsidRPr="001C12BE">
        <w:rPr>
          <w:rFonts w:eastAsia="Calibri"/>
          <w:sz w:val="24"/>
          <w:szCs w:val="24"/>
          <w:lang w:val="en-US"/>
        </w:rPr>
        <w:t xml:space="preserve">. Wanita usia subur termasuk pranikah masuk dalam kategori 1000 hari pertama kehidupan (HPK), namun status gizi wanita usia subur memiliki kontribusi besar pada kesehatan pada keselamatan kehamilan dan kelahiran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population.","author":[{"dropping-particle":"","family":"Alifia","given":"Mufti","non-dropping-particle":"","parse-names":false,"suffix":""}],"id":"ITEM-1","issued":{"date-parts":[["2021"]]},"page":"6","title":"Edukasi pentingnya 1000 hari Pertama Kehidupan dalam upaya Meningkatkan Status Gizi anak","type":"article-journal","volume":"7"},"uris":["http://www.mendeley.com/documents/?uuid=158a2f41-6947-4446-8453-c594c36fe619"]}],"mendeley":{"formattedCitation":"(Alifia, 2021)","plainTextFormattedCitation":"(Alifia, 2021)","previouslyFormattedCitation":"(Alifia, 2021)"},"properties":{"noteIndex":0},"schema":"https://github.com/citation-style-language/schema/raw/master/csl-citation.json"}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(Alifia, 2021)</w:t>
      </w:r>
      <w:r w:rsidRPr="001C12BE">
        <w:rPr>
          <w:rFonts w:eastAsia="Calibri"/>
          <w:sz w:val="24"/>
          <w:szCs w:val="24"/>
          <w:lang w:val="en-US"/>
        </w:rPr>
        <w:fldChar w:fldCharType="end"/>
      </w:r>
      <w:r w:rsidRPr="001C12BE">
        <w:rPr>
          <w:rFonts w:eastAsia="Calibri"/>
          <w:sz w:val="24"/>
          <w:szCs w:val="24"/>
          <w:lang w:val="en-US"/>
        </w:rPr>
        <w:t>.</w:t>
      </w:r>
    </w:p>
    <w:p w:rsidR="001C12BE" w:rsidRPr="001C12BE" w:rsidRDefault="001C12BE" w:rsidP="00163249">
      <w:pPr>
        <w:widowControl/>
        <w:autoSpaceDE/>
        <w:autoSpaceDN/>
        <w:spacing w:line="360" w:lineRule="auto"/>
        <w:ind w:firstLine="720"/>
        <w:jc w:val="both"/>
        <w:rPr>
          <w:rFonts w:eastAsia="Calibri"/>
          <w:sz w:val="24"/>
          <w:szCs w:val="24"/>
          <w:lang w:val="en-US"/>
        </w:rPr>
      </w:pPr>
      <w:r w:rsidRPr="001C12BE">
        <w:rPr>
          <w:rFonts w:eastAsia="Calibri"/>
          <w:sz w:val="24"/>
          <w:szCs w:val="24"/>
          <w:lang w:val="en-US"/>
        </w:rPr>
        <w:t xml:space="preserve">Lima penyebab kematian ibu terbesar yaitu perdarahan, hipertensi dalam kehamilan </w:t>
      </w:r>
      <w:r w:rsidRPr="001C12BE">
        <w:rPr>
          <w:rFonts w:eastAsia="Calibri"/>
          <w:sz w:val="24"/>
          <w:szCs w:val="24"/>
          <w:lang w:val="en-US"/>
        </w:rPr>
        <w:lastRenderedPageBreak/>
        <w:t xml:space="preserve">(HDK), infeksi, partus lama/macet, dan abortus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{"citationItems":[{"id":"ITEM-1","itemData":{"abstract":"Perempuan yang telah menikah rentan mengalami masalah kesehatan reproduksi. Permasalahan kesehatan reproduksi yang sering muncul adalah infeksi menular seksual dan infertilitas. Salah satu upaya yang dapat dilakukan oleh perempuan untuk mencegah …","author":[{"dropping-particle":"","family":"Setiawati","given":"Erdanela","non-dropping-particle":"","parse-names":false,"suffix":""},{"dropping-particle":"","family":"Amran","given":"Vitri","non-dropping-particle":"","parse-names":false,"suffix":""},{"dropping-particle":"","family":"Sari","given":"Nirmala","non-dropping-particle":"","parse-names":false,"suffix":""}],"container-title":"Jurnal Kesehatan Cehadum","id":"ITEM-1","issue":"4","issued":{"date-parts":[["2019"]]},"page":"1-8","title":"Pengetahuan Calon Pengantin tentang Pemeriksaan Kesehatan Pranikah di Kota Padang, Sumatera Barat","type":"article-journal","volume":"1"},"uris":["http://www.mendeley.com/documents/?uuid=59b80b95-8fee-4363-92bd-588110244c9c"]}],"mendeley":{"formattedCitation":"(Setiawati, Amran and Sari, 2019)","plainTextFormattedCitation":"(Setiawati, Amran and Sari, 2019)","previouslyFormattedCitation":"(Setiawati, Amran and Sari, 2019)"},"properties":{"noteIndex":0},"schema":"https://github.com/citation-style-language/schema/raw/master/csl-citation.json"}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(Setiawati, Amran and Sari, 2019)</w:t>
      </w:r>
      <w:r w:rsidRPr="001C12BE">
        <w:rPr>
          <w:rFonts w:eastAsia="Calibri"/>
          <w:sz w:val="24"/>
          <w:szCs w:val="24"/>
          <w:lang w:val="en-US"/>
        </w:rPr>
        <w:fldChar w:fldCharType="end"/>
      </w:r>
      <w:r w:rsidRPr="001C12BE">
        <w:rPr>
          <w:rFonts w:eastAsia="Calibri"/>
          <w:sz w:val="24"/>
          <w:szCs w:val="24"/>
          <w:lang w:val="en-US"/>
        </w:rPr>
        <w:t xml:space="preserve">, data tabel 4 pada calon pengantin wanita di kantor urusan Agama Kaliwates </w:t>
      </w:r>
      <w:r w:rsidRPr="001C12BE">
        <w:rPr>
          <w:rFonts w:eastAsia="Calibri"/>
          <w:sz w:val="24"/>
          <w:szCs w:val="24"/>
          <w:lang w:val="fil-PH"/>
        </w:rPr>
        <w:t>sebagian besar hasil pemeriksaan tekanan darah pada pengantin wanita sebagian sebesar 25 orang (</w:t>
      </w:r>
      <w:r w:rsidRPr="001C12BE">
        <w:rPr>
          <w:rFonts w:eastAsia="Calibri"/>
          <w:sz w:val="24"/>
          <w:szCs w:val="24"/>
          <w:lang w:val="en-ID"/>
        </w:rPr>
        <w:t>53,2 %</w:t>
      </w:r>
      <w:r w:rsidRPr="001C12BE">
        <w:rPr>
          <w:rFonts w:eastAsia="Calibri"/>
          <w:sz w:val="24"/>
          <w:szCs w:val="24"/>
          <w:lang w:val="en-US"/>
        </w:rPr>
        <w:t xml:space="preserve">) dalam rentan normal. Hipertensi merupakan factor resiko yang penting pada penyakit kardiovaskuler, penyakit jantung coroner, strok dan ganguan ginjal, dengan demikian di butuhkan upaya pengendalian tekanan darah terutama pada calon ibu hamil untuk menyongsong kehamilan yang sehat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{"citationItems":[{"id":"ITEM-1","itemData":{"DOI":"10.30595/hmj.v2i2.4169","abstract":"Hipertensi pada kehamilan sering terjadi (6-10 %) dan meningkatkan risiko morbiditas dan mortalitas pada ibu, janin dan perinatal. Pre-eklampsia/eklampsia dan hipertensi berat pada kehamilan risikonya lebih besar. Hipertensi pada kehamilan dapat digolongkan menjadi pre-eklampsia/ eklampsia, hipertensi kronis pada kehamilan, hipertensi kronis disertai pre-eklampsia, dan hipertensi gestational. Pengobatan hipertensi pada kehamilan dengan menggunakan obat antihipertensi ternyata tidak mengurangi atau meningkatkan risiko kematian ibu, proteinuria, efek samping, operasi caesar, kematian neonatal, kelahiran prematur, atau bayi lahir kecil. Penelitian mengenai obat antihipertensi pada kehamilan masih sedikit. Obat yang direkomendasikan adalah labetalol, nifedipine dan methyldopa sebagai first line terapi. Penatalaksanaan hipertensi pada kehamilan memerlukan pendekatan multidisiplin dari dokter obsetri, internis, nefrologis dan anestesi. Hipertensi pada kehamilan memiliki tingkat kekambuhan yang tinggi pada kehamilan berikutnya. Hypertension complicates 6% to 10% of pregnancies and increases the risk of maternal, fetal and perinatal morbidity and mortality. Preeclampsia / eclampsia and severe hypertension in pregnancy are at greater risk. Four major hypertensive disorders in pregnancy have been described by the American College of Obstetricians and Gynecologists (ACOG): chronic hypertension; preeclampsia-eclampsia; chronic hypertension with superimposed preeclampsia; and gestational hypertension. The current review suggests that antihypertensive drug therapy does not reduce or increase the risk of maternal death, proteinuria, side effects, cesarean section, neonatal and birth death, preterm birth, or small for gestational age infants. The quality of evidence was low. Recommendations for treatment of hypertension in pregnancy are labetalol, nifedipine and methyldopa as first line drugs therapy. Although the obstetrician manages most cases of hypertension during pregnancy, the internist, cardiologist, or nephrologist may be consulted if hypertension precedes conception, if end organ damage is present, or when accelerated hypertension occurs. Women who have had preeclampsia are also at increased risk for hypertension in future pregnancies.","author":[{"dropping-particle":"","family":"Alatas","given":"Haidar","non-dropping-particle":"","parse-names":false,"suffix":""}],"container-title":"Herb-Medicine Journal","id":"ITEM-1","issue":"2","issued":{"date-parts":[["2019"]]},"page":"27","title":"Hipertensi pada Kehamilan","type":"article-journal","volume":"2"},"uris":["http://www.mendeley.com/documents/?uuid=c5fdbced-d14b-4eb4-b90f-4fdb71ac120a"]}],"mendeley":{"formattedCitation":"(Alatas, 2019)","plainTextFormattedCitation":"(Alatas, 2019)","previouslyFormattedCitation":"(Alatas, 2019)"},"properties":{"noteIndex":0},"schema":"https://github.com/citation-style-language/schema/raw/master/csl-citation.json"}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(Alatas, 2019)</w:t>
      </w:r>
      <w:r w:rsidRPr="001C12BE">
        <w:rPr>
          <w:rFonts w:eastAsia="Calibri"/>
          <w:sz w:val="24"/>
          <w:szCs w:val="24"/>
          <w:lang w:val="en-US"/>
        </w:rPr>
        <w:fldChar w:fldCharType="end"/>
      </w:r>
    </w:p>
    <w:p w:rsidR="001C12BE" w:rsidRPr="001C12BE" w:rsidRDefault="001C12BE" w:rsidP="00163249">
      <w:pPr>
        <w:widowControl/>
        <w:autoSpaceDE/>
        <w:autoSpaceDN/>
        <w:spacing w:line="360" w:lineRule="auto"/>
        <w:ind w:firstLine="720"/>
        <w:jc w:val="both"/>
        <w:rPr>
          <w:rFonts w:eastAsia="Calibri"/>
          <w:sz w:val="24"/>
          <w:szCs w:val="24"/>
          <w:lang w:val="en-US"/>
        </w:rPr>
      </w:pPr>
      <w:r w:rsidRPr="001C12BE">
        <w:rPr>
          <w:rFonts w:eastAsia="Calibri"/>
          <w:sz w:val="24"/>
          <w:szCs w:val="24"/>
          <w:lang w:val="en-ID"/>
        </w:rPr>
        <w:t>Wanita usia subur atau pranikah (masa pra-konsepsi) membutuhkan perlakuan khusus karena masuk dalam calon ibu kellompok rentan. Masalah gizi yang sering di alami adlah KEK (Kekurangan energy kronik).</w:t>
      </w:r>
      <w:r w:rsidRPr="001C12BE">
        <w:rPr>
          <w:rFonts w:ascii="Calibri" w:eastAsia="Calibri" w:hAnsi="Calibri"/>
          <w:sz w:val="24"/>
          <w:szCs w:val="24"/>
          <w:lang w:val="en-US"/>
        </w:rPr>
        <w:t xml:space="preserve"> </w:t>
      </w:r>
      <w:r w:rsidRPr="001C12BE">
        <w:rPr>
          <w:rFonts w:eastAsia="Calibri"/>
          <w:sz w:val="24"/>
          <w:szCs w:val="24"/>
          <w:lang w:val="en-US"/>
        </w:rPr>
        <w:t>Proses terjadinya KEK merupakan akibat dari faktor lingkungan dan faktor manusia yang didukung oleh kekurangan asupan zat-zat gizi, maka simpanan zat gizi pada tubuh digunakan untuk memenuhi kebutuhan</w:t>
      </w:r>
      <w:r w:rsidRPr="001C12BE">
        <w:rPr>
          <w:rFonts w:eastAsia="Calibri"/>
          <w:sz w:val="24"/>
          <w:szCs w:val="24"/>
          <w:lang w:val="en-ID"/>
        </w:rPr>
        <w:t xml:space="preserve">. Kekurangan energy kronik pada calon ibu hamil dapat beresiko pada kelahiran bayi lahir dengan berat badan rendah (BBLR), dan jika tidak tertangani dengan baik akan berkelanjutan terhadap bayi stunting </w:t>
      </w:r>
      <w:r w:rsidRPr="001C12BE">
        <w:rPr>
          <w:rFonts w:eastAsia="Calibri"/>
          <w:sz w:val="24"/>
          <w:szCs w:val="24"/>
          <w:lang w:val="en-ID"/>
        </w:rPr>
        <w:fldChar w:fldCharType="begin" w:fldLock="1"/>
      </w:r>
      <w:r w:rsidRPr="001C12BE">
        <w:rPr>
          <w:rFonts w:eastAsia="Calibri"/>
          <w:sz w:val="24"/>
          <w:szCs w:val="24"/>
          <w:lang w:val="en-ID"/>
        </w:rPr>
        <w:instrText>ADDIN CSL_CITATION {"citationItems":[{"id":"ITEM-1","itemData":{"DOI":"10.14710/jgi.8.1.1-10","ISSN":"1858-4942","abstract":"Introduction: Pre-conception women are potential mothers or vulnerable groups who need special attention. The less of nutrients Intake than necessary can lead to nutritional problems such as Chronic Energy Deficiencyand nutritional anemia that have an impact on the next phase of life such as the risk of giving birth to babies with low birth weight (LBW), babies stunting, and growth disruption and development of the fetus / baby during pregnancy or after that. Objective: To analyze the relationship between diet quality, chronic energy malnutrition status with anemia in the bride.Methods: A cross-sectional study with 70 subjects who were brides aged 16-30 years. Selection of subjects with consecutive sampling method. Dietary quality data was measured through the Semi Quantitative Food Frequency Questionnaire (SQ-FFQ) and Diet Quality Index - International (DQI-I) forms, SEZ status assessed from body mass index (BMI) and upper arm circumference (LiLA). Anemia status was measured from hemoglobin levels, MCV, MCH, and MCHC. To examine the relationship between diet quality, chronic energy malnutrition, and anemia using a linear regression test.Results: The subject aged 16-30 years, and 41.4% are still &lt;20 years old. A total of 10 subjects (14.3%) belonged to Chronic Energy Deficiency. Haemoglobin level measurements showed there were 8 subjects (11.4%) who had low Hb levels, and 4 of them had anemia with microcytic hypychromic type which was characterized by low MCV, MCH and MCHC values. Based on the calculation of intake was known that 55 subjects (78.6%) had a low quality diet. This study showed no relationship between diet quality and anemia, but the sub-components of diet quality were adequacy of protein intake (p = 0.007), iron intake (p = 0.009) and upper arm circumference (p = 0.018) indicating a significant relationship with anemia (hemoglobin level) in the bride. Conclusion: the less protein and iron intake and lower upper arm circumference associated with a decrease in the bride's hemoglobin level","author":[{"dropping-particle":"","family":"Dieny","given":"Fillah Fithra","non-dropping-particle":"","parse-names":false,"suffix":""},{"dropping-particle":"","family":"Jauharany","given":"Firdananda Fikri","non-dropping-particle":"","parse-names":false,"suffix":""},{"dropping-particle":"","family":"Fitranti","given":"Deny Yudi","non-dropping-particle":"","parse-names":false,"suffix":""},{"dropping-particle":"","family":"Tsani","given":"A Fahmy Arif","non-dropping-particle":"","parse-names":false,"suffix":""},{"dropping-particle":"","family":"Rahadiyanti","given":"Ayu","non-dropping-particle":"","parse-names":false,"suffix":""},{"dropping-particle":"","family":"Kurniawati","given":"Dewi Marfu’ah","non-dropping-particle":"","parse-names":false,"suffix":""},{"dropping-particle":"","family":"Wijayanti","given":"Hartanti Sandi","non-dropping-particle":"","parse-names":false,"suffix":""}],"container-title":"Jurnal Gizi Indonesia","id":"ITEM-1","issue":"1","issued":{"date-parts":[["2020"]]},"page":"1","title":"Kualitas diet, kurang energi kronis (KEK), dan anemia pada pengantin wanita di Kabupaten Semarang","type":"article-journal","volume":"8"},"uris":["http://www.mendeley.com/documents/?uuid=ace9f7cf-e3c3-423f-afa6-17bd38d9bf66"]}],"mendeley":{"formattedCitation":"(Dieny &lt;i&gt;et al.&lt;/i&gt;, 2020)","plainTextFormattedCitation":"(Dieny et al., 2020)","previouslyFormattedCitation":"(Dieny &lt;i&gt;et al.&lt;/i&gt;, 2020)"},"properties":{"noteIndex":0},"schema":"https://github.com/citation-style-language/schema/raw/master/csl-citation.json"}</w:instrText>
      </w:r>
      <w:r w:rsidRPr="001C12BE">
        <w:rPr>
          <w:rFonts w:eastAsia="Calibri"/>
          <w:sz w:val="24"/>
          <w:szCs w:val="24"/>
          <w:lang w:val="en-ID"/>
        </w:rPr>
        <w:fldChar w:fldCharType="separate"/>
      </w:r>
      <w:r w:rsidRPr="001C12BE">
        <w:rPr>
          <w:rFonts w:eastAsia="Calibri"/>
          <w:noProof/>
          <w:sz w:val="24"/>
          <w:szCs w:val="24"/>
          <w:lang w:val="en-ID"/>
        </w:rPr>
        <w:t xml:space="preserve">(Dieny </w:t>
      </w:r>
      <w:r w:rsidRPr="001C12BE">
        <w:rPr>
          <w:rFonts w:eastAsia="Calibri"/>
          <w:i/>
          <w:noProof/>
          <w:sz w:val="24"/>
          <w:szCs w:val="24"/>
          <w:lang w:val="en-ID"/>
        </w:rPr>
        <w:t>et al.</w:t>
      </w:r>
      <w:r w:rsidRPr="001C12BE">
        <w:rPr>
          <w:rFonts w:eastAsia="Calibri"/>
          <w:noProof/>
          <w:sz w:val="24"/>
          <w:szCs w:val="24"/>
          <w:lang w:val="en-ID"/>
        </w:rPr>
        <w:t>, 2020)</w:t>
      </w:r>
      <w:r w:rsidRPr="001C12BE">
        <w:rPr>
          <w:rFonts w:eastAsia="Calibri"/>
          <w:sz w:val="24"/>
          <w:szCs w:val="24"/>
          <w:lang w:val="en-ID"/>
        </w:rPr>
        <w:fldChar w:fldCharType="end"/>
      </w:r>
      <w:r w:rsidRPr="001C12BE">
        <w:rPr>
          <w:rFonts w:eastAsia="Calibri"/>
          <w:sz w:val="24"/>
          <w:szCs w:val="24"/>
          <w:lang w:val="en-ID"/>
        </w:rPr>
        <w:t xml:space="preserve">. Dari hasil pemeriksaan pengukuran LILA pada tabel 5 calon pengantin di Kantor urusan agama Kaliwates </w:t>
      </w:r>
      <w:r w:rsidRPr="001C12BE">
        <w:rPr>
          <w:rFonts w:eastAsia="Calibri"/>
          <w:sz w:val="24"/>
          <w:szCs w:val="24"/>
          <w:lang w:val="fil-PH"/>
        </w:rPr>
        <w:t>sebagian besar hasil pemeriksaan Lingkar Lengan Atas pada calon pengantin wanita sebagian sebesar 39 orang (</w:t>
      </w:r>
      <w:r w:rsidRPr="001C12BE">
        <w:rPr>
          <w:rFonts w:eastAsia="Calibri"/>
          <w:sz w:val="24"/>
          <w:szCs w:val="24"/>
          <w:lang w:val="en-ID"/>
        </w:rPr>
        <w:t>83 %</w:t>
      </w:r>
      <w:r w:rsidRPr="001C12BE">
        <w:rPr>
          <w:rFonts w:eastAsia="Calibri"/>
          <w:sz w:val="24"/>
          <w:szCs w:val="24"/>
          <w:lang w:val="en-US"/>
        </w:rPr>
        <w:t xml:space="preserve">) </w:t>
      </w:r>
      <w:r w:rsidRPr="001C12BE">
        <w:rPr>
          <w:rFonts w:eastAsia="Calibri"/>
          <w:sz w:val="24"/>
          <w:szCs w:val="24"/>
          <w:lang w:val="en-US"/>
        </w:rPr>
        <w:lastRenderedPageBreak/>
        <w:t>dalam penilaian normal dan masih ada 17% LILA kurang dari normal.</w:t>
      </w:r>
    </w:p>
    <w:p w:rsidR="001C12BE" w:rsidRPr="001C12BE" w:rsidRDefault="001C12BE" w:rsidP="00163249">
      <w:pPr>
        <w:widowControl/>
        <w:autoSpaceDE/>
        <w:autoSpaceDN/>
        <w:spacing w:line="360" w:lineRule="auto"/>
        <w:ind w:firstLine="720"/>
        <w:jc w:val="both"/>
        <w:rPr>
          <w:rFonts w:eastAsia="Calibri"/>
          <w:sz w:val="24"/>
          <w:szCs w:val="24"/>
          <w:lang w:val="en-US"/>
        </w:rPr>
      </w:pPr>
      <w:r w:rsidRPr="001C12BE">
        <w:rPr>
          <w:rFonts w:eastAsia="Calibri"/>
          <w:sz w:val="24"/>
          <w:szCs w:val="24"/>
          <w:lang w:val="en-US"/>
        </w:rPr>
        <w:t xml:space="preserve">Memiliki bayi yang terlahir sehat merupakan impian bagi calon pasangan pengantin. Pemantauan gizi bagi calon ibu hamil sangat diperlukan untuk mencegah terjadinya obesitas, penyebab utama diabetes pada ibu hamil adalah salah satunya obesitas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{"citationItems":[{"id":"ITEM-1","itemData":{"abstract":"AbstractDiabetes Mellitus or diabetes is a chronic metabolic disease disorder caused by pancreas does not produce enough insulin or the body can’t effectively use produced insulin. In pregnant women with a family history of diabetes mellitus, the prevalence of pregnancy with diabetes mellitus is 5.1%. This research aim to determine description of pregnant women condition with diabetes mellitus in RSD dr. Soebandi Jember. This research used descriptive method with case series design. The sample size of 19 pregnant women with diabetes mellitus was selected by total sampling technique. The results showed that the high maternal age (52.6%), low education (89.5%), unemployment or housewife (89.2%), had a genetic 78.9%), BMI overweight (57.9%), glucosuria (89.5%), history of pre-eclampsia (57.9%), low parity (79%), never miscarried (84.2%). Based on the result of the research, it was concluded that maternal education, maternal job, genetic, overweight BMI, glucosuria, and history of pre-eclampsia had an effect towards the occurrence of pregnant women with diabetes mellitus, also maternal age, parity and history of miscarriage had no effect on the occurrence of pregnant women with diabetes mellitus. To raise awareness of the risks of pregnancy with diabetes mellitus can be done with screening for diabetes mellitus. Keywords: diabetes mellitus, pregnant women, RSD dr. Soebandi.","author":[{"dropping-particle":"","family":"Tito Putri","given":"Meggeria Dyah Matrika","non-dropping-particle":"","parse-names":false,"suffix":""},{"dropping-particle":"","family":"Wahjudi","given":"Pudjo","non-dropping-particle":"","parse-names":false,"suffix":""},{"dropping-particle":"","family":"Prasetyowati","given":"Irma","non-dropping-particle":"","parse-names":false,"suffix":""}],"container-title":"Pustaka Kesehatan","id":"ITEM-1","issue":"1","issued":{"date-parts":[["2018"]]},"page":"46","title":"Gambaran Kondisi Ibu Hamil dengan Diabetes Mellitus di RSD dr. Soebandi Jember Tahun 2013-2017","type":"article-journal","volume":"6"},"uris":["http://www.mendeley.com/documents/?uuid=13158559-ffe9-4530-99a1-12dc50c6277e"]}],"mendeley":{"formattedCitation":"(Tito Putri, Wahjudi and Prasetyowati, 2018)","plainTextFormattedCitation":"(Tito Putri, Wahjudi and Prasetyowati, 2018)","previouslyFormattedCitation":"(Tito Putri, Wahjudi and Prasetyowati, 2018)"},"properties":{"noteIndex":0},"schema":"https://github.com/citation-style-language/schema/raw/master/csl-citation.json"}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(Tito Putri, Wahjudi and Prasetyowati, 2018)</w:t>
      </w:r>
      <w:r w:rsidRPr="001C12BE">
        <w:rPr>
          <w:rFonts w:eastAsia="Calibri"/>
          <w:sz w:val="24"/>
          <w:szCs w:val="24"/>
          <w:lang w:val="en-US"/>
        </w:rPr>
        <w:fldChar w:fldCharType="end"/>
      </w:r>
      <w:r w:rsidRPr="001C12BE">
        <w:rPr>
          <w:rFonts w:eastAsia="Calibri"/>
          <w:sz w:val="24"/>
          <w:szCs w:val="24"/>
          <w:lang w:val="en-US"/>
        </w:rPr>
        <w:t>. Pmeriksaan langsung yang di lakukan pada calon pengantin wanita di Kantor Urusan Agama Kaliwates pada tabel 6 menunjukkan sebagian besar hasil pemeriksaan Glukosa  pada calon pengantin wanita sebagian sebesar 47 orang (100 %) dalam penilaian normal.</w:t>
      </w:r>
    </w:p>
    <w:p w:rsidR="001C12BE" w:rsidRPr="001C12BE" w:rsidRDefault="001C12BE" w:rsidP="00163249">
      <w:pPr>
        <w:widowControl/>
        <w:autoSpaceDE/>
        <w:autoSpaceDN/>
        <w:spacing w:line="360" w:lineRule="auto"/>
        <w:ind w:firstLine="720"/>
        <w:jc w:val="both"/>
        <w:rPr>
          <w:rFonts w:eastAsia="Calibri"/>
          <w:sz w:val="24"/>
          <w:szCs w:val="24"/>
          <w:lang w:val="en-US"/>
        </w:rPr>
      </w:pPr>
      <w:r w:rsidRPr="001C12BE">
        <w:rPr>
          <w:rFonts w:eastAsia="Calibri"/>
          <w:sz w:val="24"/>
          <w:szCs w:val="24"/>
          <w:lang w:val="en-US"/>
        </w:rPr>
        <w:t xml:space="preserve">Program Asuhan pra konsepsi (Pranikah) pada calon pengantin adalah pemeriksaan kadar hemoglobin, anemia juga menjadi penyumbang angka kematian Ibu (AKI), Anemia dan KEK dapat menyebabkan bayi lahir premature, berat bayi lahir rendah, hingga bayi stunting, dan dapat mengakibatkan perdarahan pada ibu bersalin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{"citationItems":[{"id":"ITEM-1","itemData":{"DOI":"10.24967/psn.v1i1.862","ISSN":"2746-864X","abstract":"Anemia dalam kehamilan merupakan salah satu penyebab tingginya Angka Kematian Ibu. Anemia dan KEK pada ibu hamil meningkatkan resiko terjadinya bayi lahir premature, Berat Bayi Lahir Rendah, stunting hingga kematian ibu. Anemia kehamilan merupakan masalah nasional “potensial danger to mother and child” yang mencerminkan nilai kesejahteraan sosial ekonomi. Prevalensi anemia ibu hamil di Indonesia 70 % atau 7 dari 10 wanita hamil menderita anemia. Indonesia salah satu negara penderita anemia kehamilan terbanyak. Penanggulangan masalah anemia gizi besi pada ibu hamil dengan pemberian tablet tambah darah (Fe). Selama kehamilan ibu hamil mendapat 90 tablet tambah darah. Untuk mengetahui ibu hamil anemia kami melakukan pengabdian masyarakat dengan memeriksa kadar haemoglobin. Skirining anemia dengan pemeriksaan haemoglobin serta memberikan suplemen besi dan folat. Metode pengabdian dengan melibatkan bidan kordinator dan bidan desa yang terlebih dahulu dilakukan penjajakan serta izin dengan kepala Puskesmas Sitadatada. Hasil Pengabdian ibu hamil dengan anemia 21 orang (52,5%) dari 40 ibu hamil yang dilakukan pemeriksaan kadar haemoglobin. Ibu hamil anemia jika kadara Hb periksa ≤11,5 g/dl. Pengabdian ini dapat dilakukan secara berkelanjutan untuk mendeteksi masalah gizi pada ibu hamil. Sehingga petugas kesehatan perlu monitoring dan evaluasi.","author":[{"dropping-particle":"","family":"Sitompul","given":"Emilia Silvana","non-dropping-particle":"","parse-names":false,"suffix":""},{"dropping-particle":"","family":"Simbolon","given":"Juana Linda","non-dropping-particle":"","parse-names":false,"suffix":""}],"container-title":"Prosiding Seminar Nasional Penelitian dan Pengabdian kepada Masyarakat","id":"ITEM-1","issue":"1","issued":{"date-parts":[["2020"]]},"page":"437-440","title":"Pemeriksaan Hb Pada Ibu Hamil Di Puskesmas Sitadatada","type":"article-journal","volume":"1"},"uris":["http://www.mendeley.com/documents/?uuid=2beff896-a079-44d2-98a9-8068cd88a254"]}],"mendeley":{"formattedCitation":"(Sitompul and Simbolon, 2020)","plainTextFormattedCitation":"(Sitompul and Simbolon, 2020)","previouslyFormattedCitation":"(Sitompul and Simbolon, 2020)"},"properties":{"noteIndex":0},"schema":"https://github.com/citation-style-language/schema/raw/master/csl-citation.json"}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(Sitompul and Simbolon, 2020)</w:t>
      </w:r>
      <w:r w:rsidRPr="001C12BE">
        <w:rPr>
          <w:rFonts w:eastAsia="Calibri"/>
          <w:sz w:val="24"/>
          <w:szCs w:val="24"/>
          <w:lang w:val="en-US"/>
        </w:rPr>
        <w:fldChar w:fldCharType="end"/>
      </w:r>
      <w:r w:rsidRPr="001C12BE">
        <w:rPr>
          <w:rFonts w:eastAsia="Calibri"/>
          <w:sz w:val="24"/>
          <w:szCs w:val="24"/>
          <w:lang w:val="en-US"/>
        </w:rPr>
        <w:t xml:space="preserve">. Prevalensi anemia pada calon ibu hamil berhubungan erat dengan persiapan kehamilan sehat dengan tablet Fe (tablet tambah darah), yang dapat mempengaruhi kepatuhan dan cakupan serta </w:t>
      </w:r>
      <w:r w:rsidRPr="001C12BE">
        <w:rPr>
          <w:rFonts w:eastAsia="Calibri"/>
          <w:i/>
          <w:sz w:val="24"/>
          <w:szCs w:val="24"/>
          <w:lang w:val="en-US"/>
        </w:rPr>
        <w:t>outcome</w:t>
      </w:r>
      <w:r w:rsidRPr="001C12BE">
        <w:rPr>
          <w:rFonts w:eastAsia="Calibri"/>
          <w:sz w:val="24"/>
          <w:szCs w:val="24"/>
          <w:lang w:val="en-US"/>
        </w:rPr>
        <w:t xml:space="preserve"> berupa kejadian anemia pada ibu hamil </w:t>
      </w:r>
      <w:r w:rsidRPr="001C12BE">
        <w:rPr>
          <w:rFonts w:eastAsia="Calibri"/>
          <w:sz w:val="24"/>
          <w:szCs w:val="24"/>
          <w:lang w:val="en-US"/>
        </w:rPr>
        <w:fldChar w:fldCharType="begin" w:fldLock="1"/>
      </w:r>
      <w:r w:rsidRPr="001C12BE">
        <w:rPr>
          <w:rFonts w:eastAsia="Calibri"/>
          <w:sz w:val="24"/>
          <w:szCs w:val="24"/>
          <w:lang w:val="en-US"/>
        </w:rPr>
        <w:instrText>ADDIN CSL_CITATION {"citationItems":[{"id":"ITEM-1","itemData":{"DOI":"10.31764/mj.v4i2.695","ISSN":"2503-4340","abstract":"Angka Kematian Ibu (AKI) di Indonesia masih tinggi karena rendahnya kepatuhan suplementasi zat besi pada ibu hamil. Hal ini menyebabkan peningkatkan prevalensi anemia pada ibu hamil. Tingginya prevalensi anemia dapat dipengaruhi oleh implementasi program suplementasi zat besi. Penelitian ini bertujuan untuk menganalisis faktor-faktor internal dan eksternal, untuk menemukan strategi alternatif dan strategi prioritas untuk mengoptimalkan program suplementasi besi di Kabupaten Tasikmalaya. Penelitian ini menggunakan studi cross sectional, dengan metode wawancara mendalam kepada para pemangku kepentingan IFA di Kabupaten Tasikmalaya. Data primer dikumpulkan dengan metode wawancara mendalam dengan para ahli. Data sekunder dikumpulkan melalui laporan publikasi dari institusi terkait. Analisis deskriptif pada data primer dan sekunder digunakan untuk menentukan kondisi dan program aplikasi. Analisis Evaluasi Faktor Internal (IFE) dan Evaluasi Faktor Eksternal (EFE) digunakan untuk merumuskan strategi. Pemilihan stretagi alternatif menggunakan metode SWOT, sedangkan prioritas strategis menggunakan AHP. Hasil penelitian menunjukkan bahwa total bobot IFE (2.13) dan EFE (2.12). Analisis SWOT menunjukkan bahwa pemerintah Tasikmalaya perlu meningkatkan komitmen di antara para pemangku kepentingan karena komunikasi yang kurang efektif di antara para pemangku kepentingan. Prioritas strategi adalah peningkatan komitmen, peran dan kemitraan antara para pemangku kepentingan dengan skor total 0483. ","author":[{"dropping-particle":"","family":"Rahmiati","given":"Baiq Fitria","non-dropping-particle":"","parse-names":false,"suffix":""}],"container-title":"Midwifery Journal: Jurnal Kebidanan UM. Mataram","id":"ITEM-1","issue":"2","issued":{"date-parts":[["2019"]]},"page":"53","title":"Strategi Perbaikan Program Tablet Tambah Darah Di Kabupaten Tasikmalaya","type":"article-journal","volume":"4"},"uris":["http://www.mendeley.com/documents/?uuid=7a1bcdd7-749e-456e-801d-456772e8ae56"]}],"mendeley":{"formattedCitation":"(Rahmiati, 2019)","plainTextFormattedCitation":"(Rahmiati, 2019)","previouslyFormattedCitation":"(Rahmiati, 2019)"},"properties":{"noteIndex":0},"schema":"https://github.com/citation-style-language/schema/raw/master/csl-citation.json"}</w:instrText>
      </w:r>
      <w:r w:rsidRPr="001C12BE">
        <w:rPr>
          <w:rFonts w:eastAsia="Calibri"/>
          <w:sz w:val="24"/>
          <w:szCs w:val="24"/>
          <w:lang w:val="en-US"/>
        </w:rPr>
        <w:fldChar w:fldCharType="separate"/>
      </w:r>
      <w:r w:rsidRPr="001C12BE">
        <w:rPr>
          <w:rFonts w:eastAsia="Calibri"/>
          <w:noProof/>
          <w:sz w:val="24"/>
          <w:szCs w:val="24"/>
          <w:lang w:val="en-US"/>
        </w:rPr>
        <w:t>(Rahmiati, 2019)</w:t>
      </w:r>
      <w:r w:rsidRPr="001C12BE">
        <w:rPr>
          <w:rFonts w:eastAsia="Calibri"/>
          <w:sz w:val="24"/>
          <w:szCs w:val="24"/>
          <w:lang w:val="en-US"/>
        </w:rPr>
        <w:fldChar w:fldCharType="end"/>
      </w:r>
      <w:r w:rsidRPr="001C12BE">
        <w:rPr>
          <w:rFonts w:eastAsia="Calibri"/>
          <w:sz w:val="24"/>
          <w:szCs w:val="24"/>
          <w:lang w:val="en-US"/>
        </w:rPr>
        <w:t xml:space="preserve">. Pada tabel 7 pemeriksaan yang dilakukan kepada calon pengantin wanita di KUA Kaliwates menunjukkan </w:t>
      </w:r>
      <w:r w:rsidRPr="001C12BE">
        <w:rPr>
          <w:rFonts w:eastAsia="Calibri"/>
          <w:sz w:val="24"/>
          <w:szCs w:val="24"/>
          <w:lang w:val="fil-PH"/>
        </w:rPr>
        <w:t xml:space="preserve">bahwa sebagian besar hasil pemeriksaan Kadar Hemoglobin </w:t>
      </w:r>
      <w:r w:rsidRPr="001C12BE">
        <w:rPr>
          <w:rFonts w:eastAsia="Calibri"/>
          <w:sz w:val="24"/>
          <w:szCs w:val="24"/>
          <w:lang w:val="fil-PH"/>
        </w:rPr>
        <w:lastRenderedPageBreak/>
        <w:t>pada calon pengantin wanita sebagian sebesar 46 orang (</w:t>
      </w:r>
      <w:r w:rsidRPr="001C12BE">
        <w:rPr>
          <w:rFonts w:eastAsia="Calibri"/>
          <w:sz w:val="24"/>
          <w:szCs w:val="24"/>
          <w:lang w:val="en-ID"/>
        </w:rPr>
        <w:t>97,9 %</w:t>
      </w:r>
      <w:r w:rsidRPr="001C12BE">
        <w:rPr>
          <w:rFonts w:eastAsia="Calibri"/>
          <w:sz w:val="24"/>
          <w:szCs w:val="24"/>
          <w:lang w:val="en-US"/>
        </w:rPr>
        <w:t>) dalam kategori normal</w:t>
      </w:r>
    </w:p>
    <w:p w:rsidR="001C12BE" w:rsidRPr="001C12BE" w:rsidRDefault="001C12BE" w:rsidP="00163249">
      <w:pPr>
        <w:tabs>
          <w:tab w:val="left" w:pos="426"/>
        </w:tabs>
        <w:autoSpaceDE/>
        <w:autoSpaceDN/>
        <w:spacing w:line="360" w:lineRule="auto"/>
        <w:contextualSpacing/>
        <w:jc w:val="both"/>
        <w:rPr>
          <w:rFonts w:eastAsia="Calibri"/>
          <w:b/>
          <w:sz w:val="24"/>
          <w:szCs w:val="24"/>
          <w:lang w:val="en-US"/>
        </w:rPr>
      </w:pPr>
      <w:r w:rsidRPr="001C12BE">
        <w:rPr>
          <w:rFonts w:eastAsia="Calibri"/>
          <w:b/>
          <w:sz w:val="24"/>
          <w:szCs w:val="24"/>
          <w:lang w:val="en-US"/>
        </w:rPr>
        <w:t>KESIMPULAN</w:t>
      </w:r>
    </w:p>
    <w:p w:rsidR="001C12BE" w:rsidRPr="001C12BE" w:rsidRDefault="001C12BE" w:rsidP="00163249">
      <w:pPr>
        <w:widowControl/>
        <w:autoSpaceDE/>
        <w:autoSpaceDN/>
        <w:spacing w:line="360" w:lineRule="auto"/>
        <w:ind w:firstLine="360"/>
        <w:contextualSpacing/>
        <w:jc w:val="both"/>
        <w:rPr>
          <w:rFonts w:eastAsia="Calibri" w:cs="Arial"/>
          <w:sz w:val="24"/>
          <w:szCs w:val="24"/>
          <w:lang w:val="en-US"/>
        </w:rPr>
      </w:pPr>
      <w:r w:rsidRPr="001C12BE">
        <w:rPr>
          <w:rFonts w:eastAsia="Calibri" w:cs="Arial"/>
          <w:sz w:val="24"/>
          <w:szCs w:val="24"/>
          <w:lang w:val="en-US"/>
        </w:rPr>
        <w:t>Hasil observasi pemeriksaan langsung yang dilakukan peneliti kepada calon pengantin mendapatkan hasil bahwa masih ada hasil pemeriksaan yang di bawah hasil normal, sehingga membutuhkan pemeriksaan berkelanjutan dalam upaya persiapan calon ibu dan bayi yang sehat, dan upaya pencegahan kematian Ibu dan bayi</w:t>
      </w:r>
    </w:p>
    <w:p w:rsidR="001C12BE" w:rsidRPr="001C12BE" w:rsidRDefault="001C12BE" w:rsidP="00163249">
      <w:pPr>
        <w:widowControl/>
        <w:autoSpaceDE/>
        <w:autoSpaceDN/>
        <w:spacing w:line="360" w:lineRule="auto"/>
        <w:ind w:firstLine="360"/>
        <w:contextualSpacing/>
        <w:jc w:val="both"/>
        <w:rPr>
          <w:rFonts w:eastAsia="Calibri" w:cs="Arial"/>
          <w:sz w:val="24"/>
          <w:szCs w:val="24"/>
          <w:lang w:val="en-US"/>
        </w:rPr>
      </w:pPr>
      <w:r w:rsidRPr="001C12BE">
        <w:rPr>
          <w:rFonts w:eastAsia="Calibri" w:cs="Arial"/>
          <w:sz w:val="24"/>
          <w:szCs w:val="24"/>
          <w:lang w:val="en-US"/>
        </w:rPr>
        <w:t xml:space="preserve">Diharapkan bagi pihak Kantor Urusan Agama dan Puskesmas dapat menjalin kemitraan dengan baik agar dapat memmaksimalkan pemeriksaan kesehatan dan bimbingan perkawinan bagi calon pengantin secara merata dan memberikan materi kesehatan reproduksi yang lebih lengkap dan terperinci. </w:t>
      </w:r>
    </w:p>
    <w:p w:rsidR="001C12BE" w:rsidRPr="001C12BE" w:rsidRDefault="001C12BE" w:rsidP="001C12BE">
      <w:pPr>
        <w:widowControl/>
        <w:autoSpaceDE/>
        <w:autoSpaceDN/>
        <w:ind w:left="360"/>
        <w:contextualSpacing/>
        <w:jc w:val="both"/>
        <w:rPr>
          <w:rFonts w:eastAsia="Calibri"/>
          <w:sz w:val="24"/>
          <w:szCs w:val="24"/>
          <w:lang w:val="en-US"/>
        </w:rPr>
      </w:pPr>
    </w:p>
    <w:p w:rsidR="001C12BE" w:rsidRPr="001C12BE" w:rsidRDefault="001C12BE" w:rsidP="001C12BE">
      <w:pPr>
        <w:widowControl/>
        <w:autoSpaceDE/>
        <w:autoSpaceDN/>
        <w:rPr>
          <w:rFonts w:eastAsia="Calibri"/>
          <w:b/>
          <w:iCs/>
          <w:sz w:val="24"/>
          <w:szCs w:val="24"/>
          <w:lang w:val="en-US"/>
        </w:rPr>
      </w:pPr>
      <w:r w:rsidRPr="001C12BE">
        <w:rPr>
          <w:rFonts w:eastAsia="Calibri"/>
          <w:b/>
          <w:iCs/>
          <w:sz w:val="24"/>
          <w:szCs w:val="24"/>
          <w:lang w:val="en-US"/>
        </w:rPr>
        <w:t>DAFTAR PUSTAKA</w:t>
      </w: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shd w:val="clear" w:color="auto" w:fill="FFFFFF"/>
          <w:lang w:val="en-US"/>
        </w:rPr>
        <w:fldChar w:fldCharType="begin" w:fldLock="1"/>
      </w:r>
      <w:r w:rsidRPr="001C12BE">
        <w:rPr>
          <w:rFonts w:eastAsia="Calibri"/>
          <w:shd w:val="clear" w:color="auto" w:fill="FFFFFF"/>
          <w:lang w:val="en-US"/>
        </w:rPr>
        <w:instrText xml:space="preserve">ADDIN Mendeley Bibliography CSL_BIBLIOGRAPHY </w:instrText>
      </w:r>
      <w:r w:rsidRPr="001C12BE">
        <w:rPr>
          <w:rFonts w:eastAsia="Calibri"/>
          <w:shd w:val="clear" w:color="auto" w:fill="FFFFFF"/>
          <w:lang w:val="en-US"/>
        </w:rPr>
        <w:fldChar w:fldCharType="separate"/>
      </w:r>
      <w:r w:rsidRPr="001C12BE">
        <w:rPr>
          <w:rFonts w:eastAsia="Calibri"/>
          <w:noProof/>
          <w:szCs w:val="24"/>
          <w:lang w:val="en-US"/>
        </w:rPr>
        <w:t xml:space="preserve">Akbarjono., A. E. (2019) </w:t>
      </w:r>
      <w:r w:rsidRPr="001C12BE">
        <w:rPr>
          <w:rFonts w:eastAsia="Calibri"/>
          <w:i/>
          <w:iCs/>
          <w:noProof/>
          <w:szCs w:val="24"/>
          <w:lang w:val="en-US"/>
        </w:rPr>
        <w:t xml:space="preserve">Modul Bimbingan </w:t>
      </w:r>
      <w:r w:rsidRPr="001C12BE">
        <w:rPr>
          <w:rFonts w:eastAsia="Calibri"/>
          <w:i/>
          <w:iCs/>
          <w:noProof/>
          <w:sz w:val="24"/>
          <w:szCs w:val="24"/>
          <w:lang w:val="en-US"/>
        </w:rPr>
        <w:t>Perkawinan</w:t>
      </w:r>
      <w:r w:rsidRPr="001C12BE">
        <w:rPr>
          <w:rFonts w:eastAsia="Calibri"/>
          <w:i/>
          <w:iCs/>
          <w:noProof/>
          <w:szCs w:val="24"/>
          <w:lang w:val="en-US"/>
        </w:rPr>
        <w:t xml:space="preserve"> Untuk Calon Pengantin</w:t>
      </w:r>
      <w:r w:rsidRPr="001C12BE">
        <w:rPr>
          <w:rFonts w:eastAsia="Calibri"/>
          <w:noProof/>
          <w:szCs w:val="24"/>
          <w:lang w:val="en-US"/>
        </w:rPr>
        <w:t xml:space="preserve">, </w:t>
      </w:r>
      <w:r w:rsidRPr="001C12BE">
        <w:rPr>
          <w:rFonts w:eastAsia="Calibri"/>
          <w:i/>
          <w:iCs/>
          <w:noProof/>
          <w:szCs w:val="24"/>
          <w:lang w:val="en-US"/>
        </w:rPr>
        <w:t>Cv. Zigie Utama</w:t>
      </w:r>
      <w:r w:rsidRPr="001C12BE">
        <w:rPr>
          <w:rFonts w:eastAsia="Calibri"/>
          <w:noProof/>
          <w:szCs w:val="24"/>
          <w:lang w:val="en-US"/>
        </w:rPr>
        <w:t>.</w:t>
      </w:r>
    </w:p>
    <w:p w:rsidR="00BB729F" w:rsidRPr="001C12BE" w:rsidRDefault="00BB729F"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 xml:space="preserve">Alatas, H. (2019) ‘Hipertensi pada Kehamilan’, </w:t>
      </w:r>
      <w:r w:rsidRPr="001C12BE">
        <w:rPr>
          <w:rFonts w:eastAsia="Calibri"/>
          <w:i/>
          <w:iCs/>
          <w:noProof/>
          <w:szCs w:val="24"/>
          <w:lang w:val="en-US"/>
        </w:rPr>
        <w:t>Herb-Medicine Journal</w:t>
      </w:r>
      <w:r w:rsidRPr="001C12BE">
        <w:rPr>
          <w:rFonts w:eastAsia="Calibri"/>
          <w:noProof/>
          <w:szCs w:val="24"/>
          <w:lang w:val="en-US"/>
        </w:rPr>
        <w:t>, 2(2), p. 27. doi: 10.30595/hmj.v2i2.4169.</w:t>
      </w:r>
    </w:p>
    <w:p w:rsidR="00BB729F" w:rsidRPr="001C12BE" w:rsidRDefault="00BB729F"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Alifia, M. (2021) ‘Edukasi pentingnya 1000 hari Pertama Kehidupan dalam upaya Meningkatkan Status Gizi anak’, 7, p. 6.</w:t>
      </w:r>
    </w:p>
    <w:p w:rsidR="00BB729F" w:rsidRPr="001C12BE" w:rsidRDefault="00BB729F"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Ansori (2015) ‘Pemeriksaan Kesehatan bagi Calon Pengantin’, 3(April), pp. 49–58.</w:t>
      </w:r>
    </w:p>
    <w:p w:rsidR="00BB729F" w:rsidRPr="001C12BE" w:rsidRDefault="00BB729F"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 xml:space="preserve">Arsyad, J. F., Setiawaty, Y. and Yusnidar, Y. (2022) ‘Pengaruh Pengetahuan Calon Pengantin Sebelum dan Setelah diberikan Pendidikan Gizi 1000 HPK </w:t>
      </w:r>
      <w:r w:rsidRPr="001C12BE">
        <w:rPr>
          <w:rFonts w:eastAsia="Calibri"/>
          <w:noProof/>
          <w:szCs w:val="24"/>
          <w:lang w:val="en-US"/>
        </w:rPr>
        <w:lastRenderedPageBreak/>
        <w:t xml:space="preserve">Melalui Media Presentasi dan Booklet’, </w:t>
      </w:r>
      <w:r w:rsidRPr="001C12BE">
        <w:rPr>
          <w:rFonts w:eastAsia="Calibri"/>
          <w:i/>
          <w:iCs/>
          <w:noProof/>
          <w:szCs w:val="24"/>
          <w:lang w:val="en-US"/>
        </w:rPr>
        <w:t>Jurnal Ilmiah Kesehatan Sandi Husada</w:t>
      </w:r>
      <w:r w:rsidRPr="001C12BE">
        <w:rPr>
          <w:rFonts w:eastAsia="Calibri"/>
          <w:noProof/>
          <w:szCs w:val="24"/>
          <w:lang w:val="en-US"/>
        </w:rPr>
        <w:t>, 11(1), pp. 282–287. doi: 10.35816/jiskh.v11i1.742.</w:t>
      </w:r>
    </w:p>
    <w:p w:rsidR="00BB729F" w:rsidRPr="001C12BE" w:rsidRDefault="00BB729F"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Casafranca Loayza, Y. (2018) ‘Analisis Pengetahuan Gizi calon Pengantin Pra Nikah’, (November), pp. 1–26.</w:t>
      </w:r>
    </w:p>
    <w:p w:rsidR="00163249" w:rsidRPr="001C12BE" w:rsidRDefault="00163249"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 xml:space="preserve">Dieny, F. F. </w:t>
      </w:r>
      <w:r w:rsidRPr="001C12BE">
        <w:rPr>
          <w:rFonts w:eastAsia="Calibri"/>
          <w:i/>
          <w:iCs/>
          <w:noProof/>
          <w:szCs w:val="24"/>
          <w:lang w:val="en-US"/>
        </w:rPr>
        <w:t>et al.</w:t>
      </w:r>
      <w:r w:rsidRPr="001C12BE">
        <w:rPr>
          <w:rFonts w:eastAsia="Calibri"/>
          <w:noProof/>
          <w:szCs w:val="24"/>
          <w:lang w:val="en-US"/>
        </w:rPr>
        <w:t xml:space="preserve"> (2020) ‘Kualitas diet, kurang energi kronis (KEK), dan anemia pada pengantin wanita di Kabupaten Semarang’, </w:t>
      </w:r>
      <w:r w:rsidRPr="001C12BE">
        <w:rPr>
          <w:rFonts w:eastAsia="Calibri"/>
          <w:i/>
          <w:iCs/>
          <w:noProof/>
          <w:szCs w:val="24"/>
          <w:lang w:val="en-US"/>
        </w:rPr>
        <w:t>Jurnal Gizi Indonesia</w:t>
      </w:r>
      <w:r w:rsidRPr="001C12BE">
        <w:rPr>
          <w:rFonts w:eastAsia="Calibri"/>
          <w:noProof/>
          <w:szCs w:val="24"/>
          <w:lang w:val="en-US"/>
        </w:rPr>
        <w:t>, 8(1), p. 1. doi: 10.14710/jgi.8.1.1-10.</w:t>
      </w:r>
    </w:p>
    <w:p w:rsidR="00163249" w:rsidRPr="001C12BE" w:rsidRDefault="00163249"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 xml:space="preserve">Kemenkes, R. (2015) </w:t>
      </w:r>
      <w:r w:rsidRPr="001C12BE">
        <w:rPr>
          <w:rFonts w:eastAsia="Calibri"/>
          <w:i/>
          <w:iCs/>
          <w:noProof/>
          <w:szCs w:val="24"/>
          <w:lang w:val="en-US"/>
        </w:rPr>
        <w:t>pedoman pelayanan Kesehatan reproduksi terpadu di tingkat pelayanan kesehatan dasar</w:t>
      </w:r>
      <w:r w:rsidRPr="001C12BE">
        <w:rPr>
          <w:rFonts w:eastAsia="Calibri"/>
          <w:noProof/>
          <w:szCs w:val="24"/>
          <w:lang w:val="en-US"/>
        </w:rPr>
        <w:t>.</w:t>
      </w:r>
    </w:p>
    <w:p w:rsidR="00163249" w:rsidRPr="001C12BE" w:rsidRDefault="00163249"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 xml:space="preserve">Kemenkes RI (2018) ‘Buku Saku Bagi Calon Pengantin’, </w:t>
      </w:r>
      <w:r w:rsidRPr="001C12BE">
        <w:rPr>
          <w:rFonts w:eastAsia="Calibri"/>
          <w:i/>
          <w:iCs/>
          <w:noProof/>
          <w:szCs w:val="24"/>
          <w:lang w:val="en-US"/>
        </w:rPr>
        <w:t>International Migration Review</w:t>
      </w:r>
      <w:r w:rsidRPr="001C12BE">
        <w:rPr>
          <w:rFonts w:eastAsia="Calibri"/>
          <w:noProof/>
          <w:szCs w:val="24"/>
          <w:lang w:val="en-US"/>
        </w:rPr>
        <w:t>, 47(2), pp. 330-373. Available at: http://onlinelibrary.wiley.com/doi/10.1111/imre.12028/abstract.</w:t>
      </w:r>
    </w:p>
    <w:p w:rsidR="00163249" w:rsidRPr="001C12BE" w:rsidRDefault="00163249"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 xml:space="preserve">Khusni, T. (2020) ‘kesehatan pranikah (Premarital Check Up) prespektif Maqashid Al Syari’ah’, </w:t>
      </w:r>
      <w:r w:rsidRPr="001C12BE">
        <w:rPr>
          <w:rFonts w:eastAsia="Calibri"/>
          <w:i/>
          <w:iCs/>
          <w:noProof/>
          <w:szCs w:val="24"/>
          <w:lang w:val="en-US"/>
        </w:rPr>
        <w:t>Sustainability (Switzerland)</w:t>
      </w:r>
      <w:r w:rsidRPr="001C12BE">
        <w:rPr>
          <w:rFonts w:eastAsia="Calibri"/>
          <w:noProof/>
          <w:szCs w:val="24"/>
          <w:lang w:val="en-US"/>
        </w:rPr>
        <w:t>, 4(1), pp. 1–9. Available at: https://pesquisa.bvsalud.org/portal/resource/en/mdl-20203177951%0Ahttp://dx.doi.org/10.1038/s41562-020-0887-9%0Ahttp://dx.doi.org/10.1038/s41562-020-0884-z%0Ahttps://doi.org/10.1080/13669877.2020.1758193%0Ahttp://sersc.org/journals/index.php/IJAST/article.</w:t>
      </w:r>
    </w:p>
    <w:p w:rsidR="00163249" w:rsidRPr="001C12BE" w:rsidRDefault="00163249"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 xml:space="preserve">Mayasari, A. T. </w:t>
      </w:r>
      <w:r w:rsidRPr="001C12BE">
        <w:rPr>
          <w:rFonts w:eastAsia="Calibri"/>
          <w:i/>
          <w:iCs/>
          <w:noProof/>
          <w:szCs w:val="24"/>
          <w:lang w:val="en-US"/>
        </w:rPr>
        <w:t>et al.</w:t>
      </w:r>
      <w:r w:rsidRPr="001C12BE">
        <w:rPr>
          <w:rFonts w:eastAsia="Calibri"/>
          <w:noProof/>
          <w:szCs w:val="24"/>
          <w:lang w:val="en-US"/>
        </w:rPr>
        <w:t xml:space="preserve"> (2020) ‘Efektivitas Pendidikan Kesehatan Reproduksi Berbasis Seluler pada Calon Pengantin terhadap Peningkatan Pengetahuan Kesehatan’, </w:t>
      </w:r>
      <w:r w:rsidRPr="001C12BE">
        <w:rPr>
          <w:rFonts w:eastAsia="Calibri"/>
          <w:i/>
          <w:iCs/>
          <w:noProof/>
          <w:szCs w:val="24"/>
          <w:lang w:val="en-US"/>
        </w:rPr>
        <w:t>Jurnal Kesehatan Reproduksi</w:t>
      </w:r>
      <w:r w:rsidRPr="001C12BE">
        <w:rPr>
          <w:rFonts w:eastAsia="Calibri"/>
          <w:noProof/>
          <w:szCs w:val="24"/>
          <w:lang w:val="en-US"/>
        </w:rPr>
        <w:t>, 7(1), p. 1. doi: 10.22146/jkr.47128.</w:t>
      </w:r>
    </w:p>
    <w:p w:rsidR="00163249" w:rsidRPr="001C12BE" w:rsidRDefault="00163249"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 xml:space="preserve">Munawaroh, L. (2019) ‘Kesehatan Tes Sebagai </w:t>
      </w:r>
      <w:r w:rsidRPr="001C12BE">
        <w:rPr>
          <w:rFonts w:eastAsia="Calibri"/>
          <w:noProof/>
          <w:szCs w:val="24"/>
          <w:lang w:val="en-US"/>
        </w:rPr>
        <w:lastRenderedPageBreak/>
        <w:t xml:space="preserve">Syarat Pra Nikah (Studi UU Pernikahan di Kuwait)’, </w:t>
      </w:r>
      <w:r w:rsidRPr="001C12BE">
        <w:rPr>
          <w:rFonts w:eastAsia="Calibri"/>
          <w:i/>
          <w:iCs/>
          <w:noProof/>
          <w:szCs w:val="24"/>
          <w:lang w:val="en-US"/>
        </w:rPr>
        <w:t>YUDISIA : Jurnal Pemikiran Hukum dan Hukum Islam</w:t>
      </w:r>
      <w:r w:rsidRPr="001C12BE">
        <w:rPr>
          <w:rFonts w:eastAsia="Calibri"/>
          <w:noProof/>
          <w:szCs w:val="24"/>
          <w:lang w:val="en-US"/>
        </w:rPr>
        <w:t>, 10(1). doi: 10.21043/yudisia.v10i1.4684.</w:t>
      </w:r>
    </w:p>
    <w:p w:rsidR="00163249" w:rsidRPr="001C12BE" w:rsidRDefault="00163249"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Permatasari, R. D. and Mildiana, Y. E. (2021) ‘Persiapan Keluarga Sehat dengan Premarital Check Up Calon Pengantin di Wilayah Puskesmas Tembelang Kabupaten Jombang’, 1(2), pp. 62–68. Available at: https://scholar.google.com/citations?view_op=view_citation&amp;hl=en&amp;user=S2B4XYEAAAAJ&amp;pagesize=100&amp;citation_for_view=S2B4XYEAAAAJ:roLk4NBRz8UC.</w:t>
      </w:r>
    </w:p>
    <w:p w:rsidR="00163249" w:rsidRPr="001C12BE" w:rsidRDefault="00163249"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 xml:space="preserve">Rahayu, A. </w:t>
      </w:r>
      <w:r w:rsidRPr="001C12BE">
        <w:rPr>
          <w:rFonts w:eastAsia="Calibri"/>
          <w:i/>
          <w:iCs/>
          <w:noProof/>
          <w:szCs w:val="24"/>
          <w:lang w:val="en-US"/>
        </w:rPr>
        <w:t>et al.</w:t>
      </w:r>
      <w:r w:rsidRPr="001C12BE">
        <w:rPr>
          <w:rFonts w:eastAsia="Calibri"/>
          <w:noProof/>
          <w:szCs w:val="24"/>
          <w:lang w:val="en-US"/>
        </w:rPr>
        <w:t xml:space="preserve"> (2017) </w:t>
      </w:r>
      <w:r w:rsidRPr="001C12BE">
        <w:rPr>
          <w:rFonts w:eastAsia="Calibri"/>
          <w:i/>
          <w:iCs/>
          <w:noProof/>
          <w:szCs w:val="24"/>
          <w:lang w:val="en-US"/>
        </w:rPr>
        <w:t>Kesehatan Reproduksi Remaja &amp; Lansia</w:t>
      </w:r>
      <w:r w:rsidRPr="001C12BE">
        <w:rPr>
          <w:rFonts w:eastAsia="Calibri"/>
          <w:noProof/>
          <w:szCs w:val="24"/>
          <w:lang w:val="en-US"/>
        </w:rPr>
        <w:t xml:space="preserve">, </w:t>
      </w:r>
      <w:r w:rsidRPr="001C12BE">
        <w:rPr>
          <w:rFonts w:eastAsia="Calibri"/>
          <w:i/>
          <w:iCs/>
          <w:noProof/>
          <w:szCs w:val="24"/>
          <w:lang w:val="en-US"/>
        </w:rPr>
        <w:t>Journal of Chemical Information and Modeling</w:t>
      </w:r>
      <w:r w:rsidRPr="001C12BE">
        <w:rPr>
          <w:rFonts w:eastAsia="Calibri"/>
          <w:noProof/>
          <w:szCs w:val="24"/>
          <w:lang w:val="en-US"/>
        </w:rPr>
        <w:t>.</w:t>
      </w:r>
    </w:p>
    <w:p w:rsidR="00163249" w:rsidRPr="001C12BE" w:rsidRDefault="00163249"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 xml:space="preserve">Rahmiati, B. F. (2019) ‘Strategi Perbaikan Program Tablet Tambah Darah Di Kabupaten Tasikmalaya’, </w:t>
      </w:r>
      <w:r w:rsidRPr="001C12BE">
        <w:rPr>
          <w:rFonts w:eastAsia="Calibri"/>
          <w:i/>
          <w:iCs/>
          <w:noProof/>
          <w:szCs w:val="24"/>
          <w:lang w:val="en-US"/>
        </w:rPr>
        <w:t>Midwifery Journal: Jurnal Kebidanan UM. Mataram</w:t>
      </w:r>
      <w:r w:rsidRPr="001C12BE">
        <w:rPr>
          <w:rFonts w:eastAsia="Calibri"/>
          <w:noProof/>
          <w:szCs w:val="24"/>
          <w:lang w:val="en-US"/>
        </w:rPr>
        <w:t>, 4(2), p. 53. doi: 10.31764/mj.v4i2.695.</w:t>
      </w:r>
    </w:p>
    <w:p w:rsidR="00163249" w:rsidRPr="001C12BE" w:rsidRDefault="00163249"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 xml:space="preserve">Setiawati, E., Amran, V. and Sari, N. (2019) ‘Pengetahuan Calon Pengantin tentang Pemeriksaan Kesehatan Pranikah di Kota Padang, Sumatera Barat’, </w:t>
      </w:r>
      <w:r w:rsidRPr="001C12BE">
        <w:rPr>
          <w:rFonts w:eastAsia="Calibri"/>
          <w:i/>
          <w:iCs/>
          <w:noProof/>
          <w:szCs w:val="24"/>
          <w:lang w:val="en-US"/>
        </w:rPr>
        <w:t>Jurnal Kesehatan Cehadum</w:t>
      </w:r>
      <w:r w:rsidRPr="001C12BE">
        <w:rPr>
          <w:rFonts w:eastAsia="Calibri"/>
          <w:noProof/>
          <w:szCs w:val="24"/>
          <w:lang w:val="en-US"/>
        </w:rPr>
        <w:t>, 1(4), pp. 1–8.</w:t>
      </w:r>
    </w:p>
    <w:p w:rsidR="00163249" w:rsidRPr="001C12BE" w:rsidRDefault="00163249"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Singam, K. K. and Wirakusuma, I. B. (2019) ‘Gambaran tingkat pengetahuan dan perilaku tentang kesehatan’, 8(3), pp. 184–188. doi: 10.1556/ism.v8i3.135.</w:t>
      </w:r>
    </w:p>
    <w:p w:rsidR="00163249" w:rsidRPr="001C12BE" w:rsidRDefault="00163249"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 xml:space="preserve">Sitompul, E. S. and Simbolon, J. L. (2020) ‘Pemeriksaan Hb Pada Ibu Hamil Di Puskesmas Sitadatada’, </w:t>
      </w:r>
      <w:r w:rsidRPr="001C12BE">
        <w:rPr>
          <w:rFonts w:eastAsia="Calibri"/>
          <w:i/>
          <w:iCs/>
          <w:noProof/>
          <w:szCs w:val="24"/>
          <w:lang w:val="en-US"/>
        </w:rPr>
        <w:t>Prosiding Seminar Nasional Penelitian dan Pengabdian kepada Masyarakat</w:t>
      </w:r>
      <w:r w:rsidRPr="001C12BE">
        <w:rPr>
          <w:rFonts w:eastAsia="Calibri"/>
          <w:noProof/>
          <w:szCs w:val="24"/>
          <w:lang w:val="en-US"/>
        </w:rPr>
        <w:t>, 1(1), pp. 437–440. doi: 10.24967/psn.v1i1.862.</w:t>
      </w:r>
    </w:p>
    <w:p w:rsidR="00972965" w:rsidRDefault="00972965"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 xml:space="preserve">Tito Putri, M. D. M., Wahjudi, P. and Prasetyowati, </w:t>
      </w:r>
      <w:r w:rsidRPr="001C12BE">
        <w:rPr>
          <w:rFonts w:eastAsia="Calibri"/>
          <w:noProof/>
          <w:szCs w:val="24"/>
          <w:lang w:val="en-US"/>
        </w:rPr>
        <w:lastRenderedPageBreak/>
        <w:t xml:space="preserve">I. (2018) ‘Gambaran Kondisi Ibu Hamil dengan Diabetes Mellitus di RSD dr. Soebandi Jember Tahun 2013-2017’, </w:t>
      </w:r>
      <w:r w:rsidRPr="001C12BE">
        <w:rPr>
          <w:rFonts w:eastAsia="Calibri"/>
          <w:i/>
          <w:iCs/>
          <w:noProof/>
          <w:szCs w:val="24"/>
          <w:lang w:val="en-US"/>
        </w:rPr>
        <w:t>Pustaka Kesehatan</w:t>
      </w:r>
      <w:r w:rsidRPr="001C12BE">
        <w:rPr>
          <w:rFonts w:eastAsia="Calibri"/>
          <w:noProof/>
          <w:szCs w:val="24"/>
          <w:lang w:val="en-US"/>
        </w:rPr>
        <w:t>, 6(1), p. 46.</w:t>
      </w:r>
    </w:p>
    <w:p w:rsidR="00163249" w:rsidRPr="001C12BE" w:rsidRDefault="00163249" w:rsidP="00BB729F">
      <w:pPr>
        <w:adjustRightInd w:val="0"/>
        <w:spacing w:line="276" w:lineRule="auto"/>
        <w:ind w:left="993" w:hanging="993"/>
        <w:jc w:val="both"/>
        <w:rPr>
          <w:rFonts w:eastAsia="Calibri"/>
          <w:noProof/>
          <w:szCs w:val="24"/>
          <w:lang w:val="en-US"/>
        </w:rPr>
      </w:pPr>
    </w:p>
    <w:p w:rsidR="001C12BE" w:rsidRDefault="001C12BE" w:rsidP="00BB729F">
      <w:pPr>
        <w:adjustRightInd w:val="0"/>
        <w:spacing w:line="276" w:lineRule="auto"/>
        <w:ind w:left="993" w:hanging="993"/>
        <w:jc w:val="both"/>
        <w:rPr>
          <w:rFonts w:eastAsia="Calibri"/>
          <w:noProof/>
          <w:szCs w:val="24"/>
          <w:lang w:val="en-US"/>
        </w:rPr>
      </w:pPr>
      <w:r w:rsidRPr="001C12BE">
        <w:rPr>
          <w:rFonts w:eastAsia="Calibri"/>
          <w:noProof/>
          <w:szCs w:val="24"/>
          <w:lang w:val="en-US"/>
        </w:rPr>
        <w:t xml:space="preserve">Yulivantina, E. V., Mufdlilah, M. and Kurniawati, H. F. (2021) ‘Pelaksanaan Skrining Prakonsepsi pada Calon Pengantin Perempuan’, </w:t>
      </w:r>
      <w:r w:rsidRPr="001C12BE">
        <w:rPr>
          <w:rFonts w:eastAsia="Calibri"/>
          <w:i/>
          <w:iCs/>
          <w:noProof/>
          <w:szCs w:val="24"/>
          <w:lang w:val="en-US"/>
        </w:rPr>
        <w:t>Jurnal Kesehatan Reproduksi</w:t>
      </w:r>
      <w:r w:rsidRPr="001C12BE">
        <w:rPr>
          <w:rFonts w:eastAsia="Calibri"/>
          <w:noProof/>
          <w:szCs w:val="24"/>
          <w:lang w:val="en-US"/>
        </w:rPr>
        <w:t>, 8(1), p. 47. doi: 10.22146/jkr.55481.</w:t>
      </w:r>
    </w:p>
    <w:p w:rsidR="00152DB9" w:rsidRDefault="001C12BE" w:rsidP="00972965">
      <w:pPr>
        <w:widowControl/>
        <w:autoSpaceDE/>
        <w:autoSpaceDN/>
        <w:spacing w:after="120" w:line="276" w:lineRule="auto"/>
        <w:ind w:left="993" w:hanging="993"/>
        <w:jc w:val="both"/>
      </w:pPr>
      <w:r w:rsidRPr="001C12BE">
        <w:rPr>
          <w:rFonts w:eastAsia="Calibri"/>
          <w:shd w:val="clear" w:color="auto" w:fill="FFFFFF"/>
          <w:lang w:val="en-US"/>
        </w:rPr>
        <w:fldChar w:fldCharType="end"/>
      </w:r>
    </w:p>
    <w:sectPr w:rsidR="00152DB9">
      <w:pgSz w:w="11910" w:h="16840"/>
      <w:pgMar w:top="1360" w:right="1320" w:bottom="1240" w:left="1260" w:header="610" w:footer="1042" w:gutter="0"/>
      <w:cols w:num="2" w:space="720" w:equalWidth="0">
        <w:col w:w="4457" w:space="341"/>
        <w:col w:w="4532"/>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0E0" w:rsidRDefault="004B70E0">
      <w:r>
        <w:separator/>
      </w:r>
    </w:p>
  </w:endnote>
  <w:endnote w:type="continuationSeparator" w:id="0">
    <w:p w:rsidR="004B70E0" w:rsidRDefault="004B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DB9" w:rsidRDefault="004424C7">
    <w:pPr>
      <w:pStyle w:val="BodyText"/>
      <w:spacing w:line="14" w:lineRule="auto"/>
      <w:ind w:left="0"/>
      <w:jc w:val="left"/>
      <w:rPr>
        <w:sz w:val="20"/>
      </w:rPr>
    </w:pPr>
    <w:r>
      <w:rPr>
        <w:noProof/>
        <w:lang w:val="en-US"/>
      </w:rPr>
      <mc:AlternateContent>
        <mc:Choice Requires="wps">
          <w:drawing>
            <wp:anchor distT="0" distB="0" distL="114300" distR="114300" simplePos="0" relativeHeight="251661312" behindDoc="1" locked="0" layoutInCell="1" allowOverlap="1">
              <wp:simplePos x="0" y="0"/>
              <wp:positionH relativeFrom="page">
                <wp:posOffset>3638549</wp:posOffset>
              </wp:positionH>
              <wp:positionV relativeFrom="page">
                <wp:posOffset>9886949</wp:posOffset>
              </wp:positionV>
              <wp:extent cx="466725" cy="2952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DB9" w:rsidRDefault="00BD3A56">
                          <w:pPr>
                            <w:pStyle w:val="BodyText"/>
                            <w:spacing w:before="26"/>
                            <w:ind w:left="103"/>
                            <w:jc w:val="left"/>
                          </w:pPr>
                          <w:r>
                            <w:fldChar w:fldCharType="begin"/>
                          </w:r>
                          <w:r>
                            <w:instrText xml:space="preserve"> PAGE </w:instrText>
                          </w:r>
                          <w:r>
                            <w:fldChar w:fldCharType="separate"/>
                          </w:r>
                          <w:r w:rsidR="00825EB1">
                            <w:rPr>
                              <w:noProof/>
                            </w:rPr>
                            <w:t>127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6.5pt;margin-top:778.5pt;width:36.75pt;height:23.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" filled="f" stroked="f">
              <v:textbox inset="0,0,0,0">
                <w:txbxContent>
                  <w:p w:rsidR="00152DB9" w:rsidRDefault="00BD3A56">
                    <w:pPr>
                      <w:pStyle w:val="BodyText"/>
                      <w:spacing w:before="26"/>
                      <w:ind w:left="103"/>
                      <w:jc w:val="left"/>
                    </w:pPr>
                    <w:r>
                      <w:fldChar w:fldCharType="begin"/>
                    </w:r>
                    <w:r>
                      <w:instrText xml:space="preserve"> PAGE </w:instrText>
                    </w:r>
                    <w:r>
                      <w:fldChar w:fldCharType="separate"/>
                    </w:r>
                    <w:r w:rsidR="00825EB1">
                      <w:rPr>
                        <w:noProof/>
                      </w:rPr>
                      <w:t>127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0E0" w:rsidRDefault="004B70E0">
      <w:r>
        <w:separator/>
      </w:r>
    </w:p>
  </w:footnote>
  <w:footnote w:type="continuationSeparator" w:id="0">
    <w:p w:rsidR="004B70E0" w:rsidRDefault="004B70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DB9" w:rsidRDefault="004424C7">
    <w:pPr>
      <w:pStyle w:val="BodyText"/>
      <w:spacing w:line="14" w:lineRule="auto"/>
      <w:ind w:left="0"/>
      <w:jc w:val="left"/>
      <w:rPr>
        <w:sz w:val="20"/>
      </w:rPr>
    </w:pPr>
    <w:r>
      <w:rPr>
        <w:noProof/>
        <w:lang w:val="en-US"/>
      </w:rPr>
      <mc:AlternateContent>
        <mc:Choice Requires="wps">
          <w:drawing>
            <wp:anchor distT="0" distB="0" distL="114300" distR="114300" simplePos="0" relativeHeight="251657216" behindDoc="1" locked="0" layoutInCell="1" allowOverlap="1">
              <wp:simplePos x="0" y="0"/>
              <wp:positionH relativeFrom="page">
                <wp:posOffset>772160</wp:posOffset>
              </wp:positionH>
              <wp:positionV relativeFrom="page">
                <wp:posOffset>374650</wp:posOffset>
              </wp:positionV>
              <wp:extent cx="6257925" cy="3009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DB9" w:rsidRPr="00E85B05" w:rsidRDefault="00BD3A56" w:rsidP="00E85B05">
                          <w:pPr>
                            <w:spacing w:before="10"/>
                            <w:ind w:left="20"/>
                            <w:jc w:val="center"/>
                            <w:rPr>
                              <w:i/>
                              <w:sz w:val="24"/>
                              <w:lang w:val="en-US"/>
                            </w:rPr>
                          </w:pPr>
                          <w:r>
                            <w:rPr>
                              <w:i/>
                              <w:sz w:val="24"/>
                            </w:rPr>
                            <w:t>Jurnal</w:t>
                          </w:r>
                          <w:r>
                            <w:rPr>
                              <w:i/>
                              <w:spacing w:val="-3"/>
                              <w:sz w:val="24"/>
                            </w:rPr>
                            <w:t xml:space="preserve"> </w:t>
                          </w:r>
                          <w:r>
                            <w:rPr>
                              <w:i/>
                              <w:sz w:val="24"/>
                            </w:rPr>
                            <w:t>Ilmiah</w:t>
                          </w:r>
                          <w:r>
                            <w:rPr>
                              <w:i/>
                              <w:spacing w:val="-2"/>
                              <w:sz w:val="24"/>
                            </w:rPr>
                            <w:t xml:space="preserve"> </w:t>
                          </w:r>
                          <w:r>
                            <w:rPr>
                              <w:i/>
                              <w:sz w:val="24"/>
                            </w:rPr>
                            <w:t>Kebidanan</w:t>
                          </w:r>
                          <w:r>
                            <w:rPr>
                              <w:i/>
                              <w:spacing w:val="-5"/>
                              <w:sz w:val="24"/>
                            </w:rPr>
                            <w:t xml:space="preserve"> </w:t>
                          </w:r>
                          <w:r>
                            <w:rPr>
                              <w:i/>
                              <w:sz w:val="24"/>
                            </w:rPr>
                            <w:t>(Scientific Journal</w:t>
                          </w:r>
                          <w:r>
                            <w:rPr>
                              <w:i/>
                              <w:spacing w:val="-1"/>
                              <w:sz w:val="24"/>
                            </w:rPr>
                            <w:t xml:space="preserve"> </w:t>
                          </w:r>
                          <w:r>
                            <w:rPr>
                              <w:i/>
                              <w:sz w:val="24"/>
                            </w:rPr>
                            <w:t>of</w:t>
                          </w:r>
                          <w:r>
                            <w:rPr>
                              <w:i/>
                              <w:spacing w:val="55"/>
                              <w:sz w:val="24"/>
                            </w:rPr>
                            <w:t xml:space="preserve"> </w:t>
                          </w:r>
                          <w:r>
                            <w:rPr>
                              <w:i/>
                              <w:sz w:val="24"/>
                            </w:rPr>
                            <w:t>Midwifery)</w:t>
                          </w:r>
                          <w:r w:rsidR="00E85B05">
                            <w:rPr>
                              <w:i/>
                              <w:sz w:val="24"/>
                              <w:lang w:val="en-US"/>
                            </w:rPr>
                            <w:t xml:space="preserve">, </w:t>
                          </w:r>
                          <w:r w:rsidR="00E85B05" w:rsidRPr="00E85B05">
                            <w:rPr>
                              <w:sz w:val="24"/>
                              <w:lang w:val="en-US"/>
                            </w:rPr>
                            <w:t>Vol. 8, No. 2 Tahun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8pt;margin-top:29.5pt;width:492.75pt;height:2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" filled="f" stroked="f">
              <v:textbox inset="0,0,0,0">
                <w:txbxContent>
                  <w:p w:rsidR="00152DB9" w:rsidRPr="00E85B05" w:rsidRDefault="00BD3A56" w:rsidP="00E85B05">
                    <w:pPr>
                      <w:spacing w:before="10"/>
                      <w:ind w:left="20"/>
                      <w:jc w:val="center"/>
                      <w:rPr>
                        <w:i/>
                        <w:sz w:val="24"/>
                        <w:lang w:val="en-US"/>
                      </w:rPr>
                    </w:pPr>
                    <w:r>
                      <w:rPr>
                        <w:i/>
                        <w:sz w:val="24"/>
                      </w:rPr>
                      <w:t>Jurnal</w:t>
                    </w:r>
                    <w:r>
                      <w:rPr>
                        <w:i/>
                        <w:spacing w:val="-3"/>
                        <w:sz w:val="24"/>
                      </w:rPr>
                      <w:t xml:space="preserve"> </w:t>
                    </w:r>
                    <w:r>
                      <w:rPr>
                        <w:i/>
                        <w:sz w:val="24"/>
                      </w:rPr>
                      <w:t>Ilmiah</w:t>
                    </w:r>
                    <w:r>
                      <w:rPr>
                        <w:i/>
                        <w:spacing w:val="-2"/>
                        <w:sz w:val="24"/>
                      </w:rPr>
                      <w:t xml:space="preserve"> </w:t>
                    </w:r>
                    <w:r>
                      <w:rPr>
                        <w:i/>
                        <w:sz w:val="24"/>
                      </w:rPr>
                      <w:t>Kebidanan</w:t>
                    </w:r>
                    <w:r>
                      <w:rPr>
                        <w:i/>
                        <w:spacing w:val="-5"/>
                        <w:sz w:val="24"/>
                      </w:rPr>
                      <w:t xml:space="preserve"> </w:t>
                    </w:r>
                    <w:r>
                      <w:rPr>
                        <w:i/>
                        <w:sz w:val="24"/>
                      </w:rPr>
                      <w:t>(Scientific Journal</w:t>
                    </w:r>
                    <w:r>
                      <w:rPr>
                        <w:i/>
                        <w:spacing w:val="-1"/>
                        <w:sz w:val="24"/>
                      </w:rPr>
                      <w:t xml:space="preserve"> </w:t>
                    </w:r>
                    <w:r>
                      <w:rPr>
                        <w:i/>
                        <w:sz w:val="24"/>
                      </w:rPr>
                      <w:t>of</w:t>
                    </w:r>
                    <w:r>
                      <w:rPr>
                        <w:i/>
                        <w:spacing w:val="55"/>
                        <w:sz w:val="24"/>
                      </w:rPr>
                      <w:t xml:space="preserve"> </w:t>
                    </w:r>
                    <w:r>
                      <w:rPr>
                        <w:i/>
                        <w:sz w:val="24"/>
                      </w:rPr>
                      <w:t>Midwifery)</w:t>
                    </w:r>
                    <w:r w:rsidR="00E85B05">
                      <w:rPr>
                        <w:i/>
                        <w:sz w:val="24"/>
                        <w:lang w:val="en-US"/>
                      </w:rPr>
                      <w:t xml:space="preserve">, </w:t>
                    </w:r>
                    <w:r w:rsidR="00E85B05" w:rsidRPr="00E85B05">
                      <w:rPr>
                        <w:sz w:val="24"/>
                        <w:lang w:val="en-US"/>
                      </w:rPr>
                      <w:t>Vol. 8, No. 2 Tahun 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77649"/>
    <w:multiLevelType w:val="hybridMultilevel"/>
    <w:tmpl w:val="573CFED6"/>
    <w:lvl w:ilvl="0" w:tplc="DCF2E2C2">
      <w:numFmt w:val="bullet"/>
      <w:lvlText w:val="-"/>
      <w:lvlJc w:val="left"/>
      <w:pPr>
        <w:ind w:left="384" w:hanging="220"/>
      </w:pPr>
      <w:rPr>
        <w:rFonts w:ascii="Times New Roman" w:eastAsia="Times New Roman" w:hAnsi="Times New Roman" w:cs="Times New Roman" w:hint="default"/>
        <w:w w:val="99"/>
        <w:sz w:val="22"/>
        <w:szCs w:val="22"/>
        <w:lang w:val="id" w:eastAsia="en-US" w:bidi="ar-SA"/>
      </w:rPr>
    </w:lvl>
    <w:lvl w:ilvl="1" w:tplc="C0E82F4A">
      <w:numFmt w:val="bullet"/>
      <w:lvlText w:val="•"/>
      <w:lvlJc w:val="left"/>
      <w:pPr>
        <w:ind w:left="599" w:hanging="220"/>
      </w:pPr>
      <w:rPr>
        <w:rFonts w:hint="default"/>
        <w:lang w:val="id" w:eastAsia="en-US" w:bidi="ar-SA"/>
      </w:rPr>
    </w:lvl>
    <w:lvl w:ilvl="2" w:tplc="9E909CAA">
      <w:numFmt w:val="bullet"/>
      <w:lvlText w:val="•"/>
      <w:lvlJc w:val="left"/>
      <w:pPr>
        <w:ind w:left="818" w:hanging="220"/>
      </w:pPr>
      <w:rPr>
        <w:rFonts w:hint="default"/>
        <w:lang w:val="id" w:eastAsia="en-US" w:bidi="ar-SA"/>
      </w:rPr>
    </w:lvl>
    <w:lvl w:ilvl="3" w:tplc="D514F5DC">
      <w:numFmt w:val="bullet"/>
      <w:lvlText w:val="•"/>
      <w:lvlJc w:val="left"/>
      <w:pPr>
        <w:ind w:left="1038" w:hanging="220"/>
      </w:pPr>
      <w:rPr>
        <w:rFonts w:hint="default"/>
        <w:lang w:val="id" w:eastAsia="en-US" w:bidi="ar-SA"/>
      </w:rPr>
    </w:lvl>
    <w:lvl w:ilvl="4" w:tplc="92788B18">
      <w:numFmt w:val="bullet"/>
      <w:lvlText w:val="•"/>
      <w:lvlJc w:val="left"/>
      <w:pPr>
        <w:ind w:left="1257" w:hanging="220"/>
      </w:pPr>
      <w:rPr>
        <w:rFonts w:hint="default"/>
        <w:lang w:val="id" w:eastAsia="en-US" w:bidi="ar-SA"/>
      </w:rPr>
    </w:lvl>
    <w:lvl w:ilvl="5" w:tplc="87F66C4C">
      <w:numFmt w:val="bullet"/>
      <w:lvlText w:val="•"/>
      <w:lvlJc w:val="left"/>
      <w:pPr>
        <w:ind w:left="1477" w:hanging="220"/>
      </w:pPr>
      <w:rPr>
        <w:rFonts w:hint="default"/>
        <w:lang w:val="id" w:eastAsia="en-US" w:bidi="ar-SA"/>
      </w:rPr>
    </w:lvl>
    <w:lvl w:ilvl="6" w:tplc="0608DCDA">
      <w:numFmt w:val="bullet"/>
      <w:lvlText w:val="•"/>
      <w:lvlJc w:val="left"/>
      <w:pPr>
        <w:ind w:left="1696" w:hanging="220"/>
      </w:pPr>
      <w:rPr>
        <w:rFonts w:hint="default"/>
        <w:lang w:val="id" w:eastAsia="en-US" w:bidi="ar-SA"/>
      </w:rPr>
    </w:lvl>
    <w:lvl w:ilvl="7" w:tplc="246A6686">
      <w:numFmt w:val="bullet"/>
      <w:lvlText w:val="•"/>
      <w:lvlJc w:val="left"/>
      <w:pPr>
        <w:ind w:left="1916" w:hanging="220"/>
      </w:pPr>
      <w:rPr>
        <w:rFonts w:hint="default"/>
        <w:lang w:val="id" w:eastAsia="en-US" w:bidi="ar-SA"/>
      </w:rPr>
    </w:lvl>
    <w:lvl w:ilvl="8" w:tplc="A1C458B4">
      <w:numFmt w:val="bullet"/>
      <w:lvlText w:val="•"/>
      <w:lvlJc w:val="left"/>
      <w:pPr>
        <w:ind w:left="2135" w:hanging="220"/>
      </w:pPr>
      <w:rPr>
        <w:rFonts w:hint="default"/>
        <w:lang w:val="id" w:eastAsia="en-US" w:bidi="ar-SA"/>
      </w:rPr>
    </w:lvl>
  </w:abstractNum>
  <w:abstractNum w:abstractNumId="1" w15:restartNumberingAfterBreak="0">
    <w:nsid w:val="65B82021"/>
    <w:multiLevelType w:val="hybridMultilevel"/>
    <w:tmpl w:val="B71A1502"/>
    <w:lvl w:ilvl="0" w:tplc="3476F358">
      <w:start w:val="1"/>
      <w:numFmt w:val="decimal"/>
      <w:lvlText w:val="%1."/>
      <w:lvlJc w:val="left"/>
      <w:pPr>
        <w:ind w:left="464" w:hanging="360"/>
        <w:jc w:val="right"/>
      </w:pPr>
      <w:rPr>
        <w:rFonts w:ascii="Times New Roman" w:eastAsia="Times New Roman" w:hAnsi="Times New Roman" w:cs="Times New Roman" w:hint="default"/>
        <w:b/>
        <w:bCs/>
        <w:w w:val="100"/>
        <w:sz w:val="24"/>
        <w:szCs w:val="24"/>
        <w:lang w:val="id" w:eastAsia="en-US" w:bidi="ar-SA"/>
      </w:rPr>
    </w:lvl>
    <w:lvl w:ilvl="1" w:tplc="2AEC0E14">
      <w:numFmt w:val="bullet"/>
      <w:lvlText w:val="•"/>
      <w:lvlJc w:val="left"/>
      <w:pPr>
        <w:ind w:left="859" w:hanging="360"/>
      </w:pPr>
      <w:rPr>
        <w:rFonts w:hint="default"/>
        <w:lang w:val="id" w:eastAsia="en-US" w:bidi="ar-SA"/>
      </w:rPr>
    </w:lvl>
    <w:lvl w:ilvl="2" w:tplc="7E50218E">
      <w:numFmt w:val="bullet"/>
      <w:lvlText w:val="•"/>
      <w:lvlJc w:val="left"/>
      <w:pPr>
        <w:ind w:left="1258" w:hanging="360"/>
      </w:pPr>
      <w:rPr>
        <w:rFonts w:hint="default"/>
        <w:lang w:val="id" w:eastAsia="en-US" w:bidi="ar-SA"/>
      </w:rPr>
    </w:lvl>
    <w:lvl w:ilvl="3" w:tplc="A9C46650">
      <w:numFmt w:val="bullet"/>
      <w:lvlText w:val="•"/>
      <w:lvlJc w:val="left"/>
      <w:pPr>
        <w:ind w:left="1658" w:hanging="360"/>
      </w:pPr>
      <w:rPr>
        <w:rFonts w:hint="default"/>
        <w:lang w:val="id" w:eastAsia="en-US" w:bidi="ar-SA"/>
      </w:rPr>
    </w:lvl>
    <w:lvl w:ilvl="4" w:tplc="9E046690">
      <w:numFmt w:val="bullet"/>
      <w:lvlText w:val="•"/>
      <w:lvlJc w:val="left"/>
      <w:pPr>
        <w:ind w:left="2057" w:hanging="360"/>
      </w:pPr>
      <w:rPr>
        <w:rFonts w:hint="default"/>
        <w:lang w:val="id" w:eastAsia="en-US" w:bidi="ar-SA"/>
      </w:rPr>
    </w:lvl>
    <w:lvl w:ilvl="5" w:tplc="0CA80D4E">
      <w:numFmt w:val="bullet"/>
      <w:lvlText w:val="•"/>
      <w:lvlJc w:val="left"/>
      <w:pPr>
        <w:ind w:left="2456" w:hanging="360"/>
      </w:pPr>
      <w:rPr>
        <w:rFonts w:hint="default"/>
        <w:lang w:val="id" w:eastAsia="en-US" w:bidi="ar-SA"/>
      </w:rPr>
    </w:lvl>
    <w:lvl w:ilvl="6" w:tplc="C5B06F66">
      <w:numFmt w:val="bullet"/>
      <w:lvlText w:val="•"/>
      <w:lvlJc w:val="left"/>
      <w:pPr>
        <w:ind w:left="2856" w:hanging="360"/>
      </w:pPr>
      <w:rPr>
        <w:rFonts w:hint="default"/>
        <w:lang w:val="id" w:eastAsia="en-US" w:bidi="ar-SA"/>
      </w:rPr>
    </w:lvl>
    <w:lvl w:ilvl="7" w:tplc="030660EA">
      <w:numFmt w:val="bullet"/>
      <w:lvlText w:val="•"/>
      <w:lvlJc w:val="left"/>
      <w:pPr>
        <w:ind w:left="3255" w:hanging="360"/>
      </w:pPr>
      <w:rPr>
        <w:rFonts w:hint="default"/>
        <w:lang w:val="id" w:eastAsia="en-US" w:bidi="ar-SA"/>
      </w:rPr>
    </w:lvl>
    <w:lvl w:ilvl="8" w:tplc="8F7CF5DA">
      <w:numFmt w:val="bullet"/>
      <w:lvlText w:val="•"/>
      <w:lvlJc w:val="left"/>
      <w:pPr>
        <w:ind w:left="3655"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B9"/>
    <w:rsid w:val="00152DB9"/>
    <w:rsid w:val="00163249"/>
    <w:rsid w:val="001C12BE"/>
    <w:rsid w:val="003443E1"/>
    <w:rsid w:val="004424C7"/>
    <w:rsid w:val="00475BB1"/>
    <w:rsid w:val="00496CA7"/>
    <w:rsid w:val="004B70E0"/>
    <w:rsid w:val="00825EB1"/>
    <w:rsid w:val="00972965"/>
    <w:rsid w:val="00A345CC"/>
    <w:rsid w:val="00AD32A5"/>
    <w:rsid w:val="00BB729F"/>
    <w:rsid w:val="00BD3A56"/>
    <w:rsid w:val="00CF1EF9"/>
    <w:rsid w:val="00E85B05"/>
    <w:rsid w:val="00EB62A6"/>
    <w:rsid w:val="00EE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BB0645-C0F2-4E2C-A226-22C612C3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80"/>
      <w:ind w:left="180"/>
      <w:outlineLvl w:val="0"/>
    </w:pPr>
    <w:rPr>
      <w:b/>
      <w:bCs/>
      <w:sz w:val="24"/>
      <w:szCs w:val="24"/>
    </w:rPr>
  </w:style>
  <w:style w:type="paragraph" w:styleId="Heading2">
    <w:name w:val="heading 2"/>
    <w:basedOn w:val="Normal"/>
    <w:uiPriority w:val="1"/>
    <w:qFormat/>
    <w:pPr>
      <w:ind w:left="3369" w:hanging="338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jc w:val="both"/>
    </w:pPr>
    <w:rPr>
      <w:sz w:val="24"/>
      <w:szCs w:val="24"/>
    </w:rPr>
  </w:style>
  <w:style w:type="paragraph" w:styleId="ListParagraph">
    <w:name w:val="List Paragraph"/>
    <w:basedOn w:val="Normal"/>
    <w:uiPriority w:val="1"/>
    <w:qFormat/>
    <w:pPr>
      <w:ind w:left="38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6CA7"/>
    <w:rPr>
      <w:color w:val="0000FF" w:themeColor="hyperlink"/>
      <w:u w:val="single"/>
    </w:rPr>
  </w:style>
  <w:style w:type="paragraph" w:styleId="Header">
    <w:name w:val="header"/>
    <w:basedOn w:val="Normal"/>
    <w:link w:val="HeaderChar"/>
    <w:uiPriority w:val="99"/>
    <w:unhideWhenUsed/>
    <w:rsid w:val="00E85B05"/>
    <w:pPr>
      <w:tabs>
        <w:tab w:val="center" w:pos="4680"/>
        <w:tab w:val="right" w:pos="9360"/>
      </w:tabs>
    </w:pPr>
  </w:style>
  <w:style w:type="character" w:customStyle="1" w:styleId="HeaderChar">
    <w:name w:val="Header Char"/>
    <w:basedOn w:val="DefaultParagraphFont"/>
    <w:link w:val="Header"/>
    <w:uiPriority w:val="99"/>
    <w:rsid w:val="00E85B05"/>
    <w:rPr>
      <w:rFonts w:ascii="Times New Roman" w:eastAsia="Times New Roman" w:hAnsi="Times New Roman" w:cs="Times New Roman"/>
      <w:lang w:val="id"/>
    </w:rPr>
  </w:style>
  <w:style w:type="paragraph" w:styleId="Footer">
    <w:name w:val="footer"/>
    <w:basedOn w:val="Normal"/>
    <w:link w:val="FooterChar"/>
    <w:uiPriority w:val="99"/>
    <w:unhideWhenUsed/>
    <w:rsid w:val="00E85B05"/>
    <w:pPr>
      <w:tabs>
        <w:tab w:val="center" w:pos="4680"/>
        <w:tab w:val="right" w:pos="9360"/>
      </w:tabs>
    </w:pPr>
  </w:style>
  <w:style w:type="character" w:customStyle="1" w:styleId="FooterChar">
    <w:name w:val="Footer Char"/>
    <w:basedOn w:val="DefaultParagraphFont"/>
    <w:link w:val="Footer"/>
    <w:uiPriority w:val="99"/>
    <w:rsid w:val="00E85B05"/>
    <w:rPr>
      <w:rFonts w:ascii="Times New Roman" w:eastAsia="Times New Roman" w:hAnsi="Times New Roman" w:cs="Times New Roman"/>
      <w:lang w:val="id"/>
    </w:rPr>
  </w:style>
  <w:style w:type="table" w:styleId="TableGrid">
    <w:name w:val="Table Grid"/>
    <w:basedOn w:val="TableNormal"/>
    <w:uiPriority w:val="59"/>
    <w:rsid w:val="001C12B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ggraenierno8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9016</Words>
  <Characters>51396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2022-09-22T09:26:00Z</dcterms:created>
  <dcterms:modified xsi:type="dcterms:W3CDTF">2022-09-22T14:24:00Z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Microsoft® Word 2016</vt:lpwstr>
  </property>
  <property fmtid="{D5CDD505-2E9C-101B-9397-08002B2CF9AE}" pid="4" name="LastSaved">
    <vt:filetime>2022-09-12T00:00:00Z</vt:filetime>
  </property>
</Properties>
</file>